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B99" w:rsidRDefault="00561B99" w:rsidP="00FB249D">
      <w:bookmarkStart w:id="0" w:name="_GoBack"/>
      <w:bookmarkEnd w:id="0"/>
    </w:p>
    <w:p w:rsidR="00DD0435" w:rsidRPr="00FB249D" w:rsidRDefault="00A739A2" w:rsidP="00FB249D">
      <w:r>
        <w:rPr>
          <w:noProof/>
          <w:lang w:val="en-US" w:eastAsia="en-US"/>
        </w:rPr>
        <w:drawing>
          <wp:anchor distT="0" distB="0" distL="114300" distR="114300" simplePos="0" relativeHeight="251658240" behindDoc="0" locked="0" layoutInCell="1" allowOverlap="1" wp14:anchorId="5B2F1E36" wp14:editId="39A6D416">
            <wp:simplePos x="0" y="0"/>
            <wp:positionH relativeFrom="column">
              <wp:posOffset>-3770630</wp:posOffset>
            </wp:positionH>
            <wp:positionV relativeFrom="paragraph">
              <wp:posOffset>3423285</wp:posOffset>
            </wp:positionV>
            <wp:extent cx="6769735" cy="451485"/>
            <wp:effectExtent l="0" t="3175" r="8890" b="8890"/>
            <wp:wrapNone/>
            <wp:docPr id="1" name="Picture 4" descr="PRESS INF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S INFO.e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6769735" cy="45148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435" w:rsidRPr="00DD0435">
        <w:rPr>
          <w:rFonts w:asciiTheme="minorHAnsi" w:eastAsiaTheme="minorHAnsi" w:hAnsiTheme="minorHAnsi" w:cstheme="minorBidi"/>
          <w:b/>
          <w:sz w:val="32"/>
          <w:lang w:val="en-US" w:eastAsia="en-US"/>
        </w:rPr>
        <w:t>Polymer solutions to improve the efficiency of water systems</w:t>
      </w:r>
      <w:r w:rsidR="00FB249D">
        <w:rPr>
          <w:rFonts w:asciiTheme="minorHAnsi" w:eastAsiaTheme="minorHAnsi" w:hAnsiTheme="minorHAnsi" w:cstheme="minorBidi"/>
          <w:b/>
          <w:sz w:val="32"/>
          <w:lang w:val="en-US" w:eastAsia="en-US"/>
        </w:rPr>
        <w:br/>
      </w:r>
    </w:p>
    <w:p w:rsidR="00DD0435" w:rsidRDefault="00DD0435" w:rsidP="00DD0435">
      <w:pPr>
        <w:spacing w:after="200" w:line="276" w:lineRule="auto"/>
        <w:jc w:val="both"/>
        <w:rPr>
          <w:rFonts w:asciiTheme="minorHAnsi" w:eastAsiaTheme="minorHAnsi" w:hAnsiTheme="minorHAnsi" w:cstheme="minorBidi"/>
          <w:lang w:val="en-US" w:eastAsia="en-US"/>
        </w:rPr>
      </w:pPr>
      <w:r w:rsidRPr="00DD0435">
        <w:rPr>
          <w:rFonts w:asciiTheme="minorHAnsi" w:eastAsiaTheme="minorHAnsi" w:hAnsiTheme="minorHAnsi" w:cstheme="minorBidi"/>
          <w:lang w:val="en-US" w:eastAsia="en-US"/>
        </w:rPr>
        <w:t>Fluid handling equipment may suffer from multiple problems including physical and mechanical damage as well as general or localized erosion and corrosion. These problems are linked to decreased efficiency and poor performance, leading to increasing operational costs. Minimising performance deterioration is therefore an important factor for pump manufacturers and end users.  Indeed, hydraulic losses account for most of the efficiency decrease (9% for a mixed flow pump to 20% for radial flow). Coating technology can help in decreasing these losses, increasing the pump’s performance and reducing operational costs.</w:t>
      </w:r>
    </w:p>
    <w:p w:rsidR="00FB249D" w:rsidRPr="00DD0435" w:rsidRDefault="00FB249D" w:rsidP="00DD0435">
      <w:pPr>
        <w:spacing w:after="200" w:line="276" w:lineRule="auto"/>
        <w:jc w:val="both"/>
        <w:rPr>
          <w:rFonts w:asciiTheme="minorHAnsi" w:eastAsiaTheme="minorHAnsi" w:hAnsiTheme="minorHAnsi" w:cstheme="minorBidi"/>
          <w:lang w:val="en-US" w:eastAsia="en-US"/>
        </w:rPr>
      </w:pPr>
      <w:r>
        <w:rPr>
          <w:rFonts w:asciiTheme="minorHAnsi" w:eastAsiaTheme="minorHAnsi" w:hAnsiTheme="minorHAnsi" w:cstheme="minorBidi"/>
          <w:noProof/>
          <w:lang w:val="en-US" w:eastAsia="en-US"/>
        </w:rPr>
        <w:drawing>
          <wp:inline distT="0" distB="0" distL="0" distR="0">
            <wp:extent cx="2390775" cy="1794334"/>
            <wp:effectExtent l="0" t="0" r="0" b="0"/>
            <wp:docPr id="8" name="Picture 8" descr="P:\Marketing- PR\Publications team\Articles\English\2015\pump efficiency\Photos article\Picture 1 Pump impeller before app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rketing- PR\Publications team\Articles\English\2015\pump efficiency\Photos article\Picture 1 Pump impeller before applicat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775" cy="1794334"/>
                    </a:xfrm>
                    <a:prstGeom prst="rect">
                      <a:avLst/>
                    </a:prstGeom>
                    <a:noFill/>
                    <a:ln>
                      <a:noFill/>
                    </a:ln>
                  </pic:spPr>
                </pic:pic>
              </a:graphicData>
            </a:graphic>
          </wp:inline>
        </w:drawing>
      </w:r>
      <w:r>
        <w:rPr>
          <w:rFonts w:asciiTheme="minorHAnsi" w:eastAsiaTheme="minorHAnsi" w:hAnsiTheme="minorHAnsi" w:cstheme="minorBidi"/>
          <w:noProof/>
          <w:lang w:val="en-US" w:eastAsia="en-US"/>
        </w:rPr>
        <w:drawing>
          <wp:inline distT="0" distB="0" distL="0" distR="0">
            <wp:extent cx="2390775" cy="1794334"/>
            <wp:effectExtent l="0" t="0" r="0" b="0"/>
            <wp:docPr id="10" name="Picture 10" descr="P:\Marketing- PR\Publications team\Articles\English\2015\pump efficiency\Photos article\Picture 2 Pump impeller repaired and 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arketing- PR\Publications team\Articles\English\2015\pump efficiency\Photos article\Picture 2 Pump impeller repaired and coat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0775" cy="1794334"/>
                    </a:xfrm>
                    <a:prstGeom prst="rect">
                      <a:avLst/>
                    </a:prstGeom>
                    <a:noFill/>
                    <a:ln>
                      <a:noFill/>
                    </a:ln>
                  </pic:spPr>
                </pic:pic>
              </a:graphicData>
            </a:graphic>
          </wp:inline>
        </w:drawing>
      </w:r>
      <w:r>
        <w:rPr>
          <w:rFonts w:asciiTheme="minorHAnsi" w:eastAsiaTheme="minorHAnsi" w:hAnsiTheme="minorHAnsi" w:cstheme="minorBidi"/>
          <w:lang w:val="en-US" w:eastAsia="en-US"/>
        </w:rPr>
        <w:br/>
        <w:t>Pump impeller before application               Pump impeller repaired and coated</w:t>
      </w:r>
    </w:p>
    <w:p w:rsidR="00DD0435" w:rsidRPr="00DD0435" w:rsidRDefault="00DD0435" w:rsidP="00DD0435">
      <w:pPr>
        <w:spacing w:after="200" w:line="276" w:lineRule="auto"/>
        <w:jc w:val="both"/>
        <w:rPr>
          <w:rFonts w:asciiTheme="minorHAnsi" w:eastAsiaTheme="minorHAnsi" w:hAnsiTheme="minorHAnsi" w:cstheme="minorBidi"/>
          <w:b/>
          <w:lang w:val="en-US" w:eastAsia="en-US"/>
        </w:rPr>
      </w:pPr>
      <w:r w:rsidRPr="00DD0435">
        <w:rPr>
          <w:rFonts w:asciiTheme="minorHAnsi" w:eastAsiaTheme="minorHAnsi" w:hAnsiTheme="minorHAnsi" w:cstheme="minorBidi"/>
          <w:b/>
          <w:lang w:val="en-US" w:eastAsia="en-US"/>
        </w:rPr>
        <w:t xml:space="preserve">Hydrophobic coatings for pump efficiency improvement </w:t>
      </w:r>
    </w:p>
    <w:p w:rsidR="00DD0435" w:rsidRPr="00DD0435" w:rsidRDefault="00DD0435" w:rsidP="00DD0435">
      <w:pPr>
        <w:spacing w:after="200" w:line="276" w:lineRule="auto"/>
        <w:jc w:val="both"/>
        <w:rPr>
          <w:rFonts w:asciiTheme="minorHAnsi" w:eastAsiaTheme="minorHAnsi" w:hAnsiTheme="minorHAnsi" w:cstheme="minorBidi"/>
          <w:lang w:val="en-US" w:eastAsia="en-US"/>
        </w:rPr>
      </w:pPr>
      <w:r w:rsidRPr="00DD0435">
        <w:rPr>
          <w:rFonts w:asciiTheme="minorHAnsi" w:eastAsiaTheme="minorHAnsi" w:hAnsiTheme="minorHAnsi" w:cstheme="minorBidi"/>
          <w:lang w:val="en-US" w:eastAsia="en-US"/>
        </w:rPr>
        <w:t xml:space="preserve">In pumping equipment, it is possible to reduce power consumption and improve the hydraulic properties by changing the pump surface finish. In fact, the loss of efficiency is caused by frictional forces created between the fluid and the walls, the acceleration and the slowing down of the fluid, and the change in the fluid flow direction. The smoother the pump walls, the more fluid turbulence will be reduced, thus reducing the energy required for the pump to move the fluid through the hydraulic passage. </w:t>
      </w:r>
    </w:p>
    <w:p w:rsidR="00DD0435" w:rsidRPr="00DD0435" w:rsidRDefault="00DD0435" w:rsidP="00DD0435">
      <w:pPr>
        <w:spacing w:after="200" w:line="276" w:lineRule="auto"/>
        <w:jc w:val="both"/>
        <w:rPr>
          <w:rFonts w:asciiTheme="minorHAnsi" w:eastAsiaTheme="minorHAnsi" w:hAnsiTheme="minorHAnsi" w:cstheme="minorBidi"/>
          <w:lang w:val="en-US" w:eastAsia="en-US"/>
        </w:rPr>
      </w:pPr>
      <w:r w:rsidRPr="00DD0435">
        <w:rPr>
          <w:rFonts w:asciiTheme="minorHAnsi" w:eastAsiaTheme="minorHAnsi" w:hAnsiTheme="minorHAnsi" w:cstheme="minorBidi"/>
          <w:lang w:val="en-US" w:eastAsia="en-US"/>
        </w:rPr>
        <w:t xml:space="preserve">In order to get the best performance possible, pump manufacturers seek to create the smoothest surface possible to reduce the turbulence of the fluid. This can be obtained by the polishing of the selected metal, such as stainless steel; however, this method is extremely time consuming and expensive. </w:t>
      </w:r>
    </w:p>
    <w:p w:rsidR="00DD0435" w:rsidRPr="00DD0435" w:rsidRDefault="00DD0435" w:rsidP="00DD0435">
      <w:pPr>
        <w:spacing w:after="200" w:line="276" w:lineRule="auto"/>
        <w:jc w:val="both"/>
        <w:rPr>
          <w:rFonts w:asciiTheme="minorHAnsi" w:eastAsiaTheme="minorHAnsi" w:hAnsiTheme="minorHAnsi" w:cstheme="minorBidi"/>
          <w:lang w:val="en-US" w:eastAsia="en-US"/>
        </w:rPr>
      </w:pPr>
      <w:r w:rsidRPr="00DD0435">
        <w:rPr>
          <w:rFonts w:asciiTheme="minorHAnsi" w:eastAsiaTheme="minorHAnsi" w:hAnsiTheme="minorHAnsi" w:cstheme="minorBidi"/>
          <w:lang w:val="en-US" w:eastAsia="en-US"/>
        </w:rPr>
        <w:t xml:space="preserve">A smooth surface finish can also be obtained by applying an erosion-corrosion resistant efficiency coating on the pump’s volute and impeller. These polymeric coatings are specifically designed to improve efficiency on fluid handling systems and protect metals against the effects of erosion-corrosion. Their unique combination of properties such as self-leveling application, hydrophobicity and hydraulic smoothness makes these coatings ideal candidates for lining the hydraulic passages of pumps. These coatings possess a low electronic affinity towards water molecules and result in a </w:t>
      </w:r>
      <w:r w:rsidRPr="00DD0435">
        <w:rPr>
          <w:rFonts w:asciiTheme="minorHAnsi" w:eastAsiaTheme="minorHAnsi" w:hAnsiTheme="minorHAnsi" w:cstheme="minorBidi"/>
          <w:lang w:val="en-US" w:eastAsia="en-US"/>
        </w:rPr>
        <w:lastRenderedPageBreak/>
        <w:t>smooth glossy finish once applied onto a metallic surface. This allows the water or other aqueous solutions to easily slide on the surface of the coating.</w:t>
      </w:r>
    </w:p>
    <w:p w:rsidR="00DD0435" w:rsidRPr="00DD0435" w:rsidRDefault="00DD0435" w:rsidP="00DD0435">
      <w:pPr>
        <w:spacing w:after="200" w:line="276" w:lineRule="auto"/>
        <w:jc w:val="both"/>
        <w:rPr>
          <w:rFonts w:asciiTheme="minorHAnsi" w:eastAsiaTheme="minorHAnsi" w:hAnsiTheme="minorHAnsi" w:cstheme="minorBidi"/>
          <w:lang w:val="en-US" w:eastAsia="en-US"/>
        </w:rPr>
      </w:pPr>
      <w:r w:rsidRPr="00DD0435">
        <w:rPr>
          <w:rFonts w:asciiTheme="minorHAnsi" w:eastAsiaTheme="minorHAnsi" w:hAnsiTheme="minorHAnsi" w:cstheme="minorBidi"/>
          <w:lang w:val="en-US" w:eastAsia="en-US"/>
        </w:rPr>
        <w:t xml:space="preserve">The smoothness of these hydrophobic epoxy coatings is demonstrated on Graph 1 below, where the surface condition of </w:t>
      </w:r>
      <w:proofErr w:type="spellStart"/>
      <w:r w:rsidRPr="00DD0435">
        <w:rPr>
          <w:rFonts w:asciiTheme="minorHAnsi" w:eastAsiaTheme="minorHAnsi" w:hAnsiTheme="minorHAnsi" w:cstheme="minorBidi"/>
          <w:lang w:val="en-US" w:eastAsia="en-US"/>
        </w:rPr>
        <w:t>Belzona</w:t>
      </w:r>
      <w:proofErr w:type="spellEnd"/>
      <w:r w:rsidRPr="00DD0435">
        <w:rPr>
          <w:rFonts w:asciiTheme="minorHAnsi" w:eastAsiaTheme="minorHAnsi" w:hAnsiTheme="minorHAnsi" w:cstheme="minorBidi"/>
          <w:lang w:val="en-US" w:eastAsia="en-US"/>
        </w:rPr>
        <w:t xml:space="preserve"> 1341 (</w:t>
      </w:r>
      <w:proofErr w:type="spellStart"/>
      <w:r w:rsidRPr="00DD0435">
        <w:rPr>
          <w:rFonts w:asciiTheme="minorHAnsi" w:eastAsiaTheme="minorHAnsi" w:hAnsiTheme="minorHAnsi" w:cstheme="minorBidi"/>
          <w:lang w:val="en-US" w:eastAsia="en-US"/>
        </w:rPr>
        <w:t>Supermetaglide</w:t>
      </w:r>
      <w:proofErr w:type="spellEnd"/>
      <w:r w:rsidRPr="00DD0435">
        <w:rPr>
          <w:rFonts w:asciiTheme="minorHAnsi" w:eastAsiaTheme="minorHAnsi" w:hAnsiTheme="minorHAnsi" w:cstheme="minorBidi"/>
          <w:lang w:val="en-US" w:eastAsia="en-US"/>
        </w:rPr>
        <w:t>), a high performance coating designed to improve efficiency of pumps, pipes, valves and other fluid handling equipment while protecting them from the effects of erosion-corrosion,  was measured as fifteen times smoother than polished stainless steel.</w:t>
      </w:r>
    </w:p>
    <w:p w:rsidR="00FB249D" w:rsidRDefault="00FB249D" w:rsidP="00DD0435">
      <w:pPr>
        <w:spacing w:line="276" w:lineRule="auto"/>
        <w:jc w:val="center"/>
        <w:rPr>
          <w:rFonts w:asciiTheme="minorHAnsi" w:eastAsiaTheme="minorHAnsi" w:hAnsiTheme="minorHAnsi" w:cstheme="minorBidi"/>
          <w:noProof/>
        </w:rPr>
      </w:pPr>
      <w:r>
        <w:rPr>
          <w:rFonts w:asciiTheme="minorHAnsi" w:eastAsiaTheme="minorHAnsi" w:hAnsiTheme="minorHAnsi" w:cstheme="minorBidi"/>
          <w:noProof/>
          <w:lang w:val="en-US" w:eastAsia="en-US"/>
        </w:rPr>
        <w:drawing>
          <wp:inline distT="0" distB="0" distL="0" distR="0">
            <wp:extent cx="4543425" cy="3409950"/>
            <wp:effectExtent l="0" t="0" r="9525" b="0"/>
            <wp:docPr id="13" name="Picture 13" descr="P:\Marketing- PR\Publications team\Articles\English\2015\pump efficiency\Photos article\Picture 4 Belzona 1341 (Supermetalglide) appl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Marketing- PR\Publications team\Articles\English\2015\pump efficiency\Photos article\Picture 4 Belzona 1341 (Supermetalglide) appli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3425" cy="3409950"/>
                    </a:xfrm>
                    <a:prstGeom prst="rect">
                      <a:avLst/>
                    </a:prstGeom>
                    <a:noFill/>
                    <a:ln>
                      <a:noFill/>
                    </a:ln>
                  </pic:spPr>
                </pic:pic>
              </a:graphicData>
            </a:graphic>
          </wp:inline>
        </w:drawing>
      </w:r>
      <w:r>
        <w:rPr>
          <w:rFonts w:asciiTheme="minorHAnsi" w:eastAsiaTheme="minorHAnsi" w:hAnsiTheme="minorHAnsi" w:cstheme="minorBidi"/>
          <w:noProof/>
        </w:rPr>
        <w:br/>
        <w:t>Belzona 1341 (Supermetalglide) applied</w:t>
      </w:r>
    </w:p>
    <w:p w:rsidR="00FB249D" w:rsidRDefault="00FB249D" w:rsidP="00DD0435">
      <w:pPr>
        <w:spacing w:line="276" w:lineRule="auto"/>
        <w:jc w:val="center"/>
        <w:rPr>
          <w:rFonts w:asciiTheme="minorHAnsi" w:eastAsiaTheme="minorHAnsi" w:hAnsiTheme="minorHAnsi" w:cstheme="minorBidi"/>
          <w:noProof/>
        </w:rPr>
      </w:pPr>
    </w:p>
    <w:p w:rsidR="00FB249D" w:rsidRDefault="00FB249D" w:rsidP="00DD0435">
      <w:pPr>
        <w:spacing w:line="276" w:lineRule="auto"/>
        <w:jc w:val="center"/>
        <w:rPr>
          <w:rFonts w:asciiTheme="minorHAnsi" w:eastAsiaTheme="minorHAnsi" w:hAnsiTheme="minorHAnsi" w:cstheme="minorBidi"/>
          <w:noProof/>
        </w:rPr>
      </w:pPr>
    </w:p>
    <w:p w:rsidR="00DD0435" w:rsidRPr="00DD0435" w:rsidRDefault="00DD0435" w:rsidP="00DD0435">
      <w:pPr>
        <w:spacing w:line="276" w:lineRule="auto"/>
        <w:jc w:val="center"/>
        <w:rPr>
          <w:rFonts w:asciiTheme="minorHAnsi" w:eastAsiaTheme="minorHAnsi" w:hAnsiTheme="minorHAnsi" w:cstheme="minorBidi"/>
          <w:lang w:val="en-US" w:eastAsia="en-US"/>
        </w:rPr>
      </w:pPr>
      <w:r w:rsidRPr="00DD0435">
        <w:rPr>
          <w:rFonts w:asciiTheme="minorHAnsi" w:eastAsiaTheme="minorHAnsi" w:hAnsiTheme="minorHAnsi" w:cstheme="minorBidi"/>
          <w:noProof/>
          <w:lang w:val="en-US" w:eastAsia="en-US"/>
        </w:rPr>
        <w:lastRenderedPageBreak/>
        <w:drawing>
          <wp:inline distT="0" distB="0" distL="0" distR="0" wp14:anchorId="30175357" wp14:editId="09E4F611">
            <wp:extent cx="2752725" cy="3429981"/>
            <wp:effectExtent l="0" t="0" r="0" b="0"/>
            <wp:docPr id="6" name="Picture 6" descr="P:\Marketing- PR\Publications team\Mailings\.Mailings 2015\January\Photos\Efficiency-surface-diagram-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arketing- PR\Publications team\Mailings\.Mailings 2015\January\Photos\Efficiency-surface-diagram-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8531" cy="3437215"/>
                    </a:xfrm>
                    <a:prstGeom prst="rect">
                      <a:avLst/>
                    </a:prstGeom>
                    <a:noFill/>
                    <a:ln>
                      <a:noFill/>
                    </a:ln>
                  </pic:spPr>
                </pic:pic>
              </a:graphicData>
            </a:graphic>
          </wp:inline>
        </w:drawing>
      </w:r>
    </w:p>
    <w:p w:rsidR="00DD0435" w:rsidRPr="00DD0435" w:rsidRDefault="00DD0435" w:rsidP="00DD0435">
      <w:pPr>
        <w:spacing w:line="276" w:lineRule="auto"/>
        <w:jc w:val="center"/>
        <w:rPr>
          <w:rFonts w:asciiTheme="minorHAnsi" w:eastAsiaTheme="minorHAnsi" w:hAnsiTheme="minorHAnsi" w:cstheme="minorBidi"/>
          <w:noProof/>
          <w:lang w:val="en-US" w:eastAsia="en-US"/>
        </w:rPr>
      </w:pPr>
      <w:r w:rsidRPr="00DD0435">
        <w:rPr>
          <w:rFonts w:asciiTheme="minorHAnsi" w:eastAsiaTheme="minorHAnsi" w:hAnsiTheme="minorHAnsi" w:cstheme="minorBidi"/>
          <w:noProof/>
          <w:lang w:val="en-US" w:eastAsia="en-US"/>
        </w:rPr>
        <w:t xml:space="preserve">Graph 1: Surface smoothness comparison between polished stainless steel </w:t>
      </w:r>
    </w:p>
    <w:p w:rsidR="00DD0435" w:rsidRPr="00DD0435" w:rsidRDefault="00DD0435" w:rsidP="00DD0435">
      <w:pPr>
        <w:spacing w:line="276" w:lineRule="auto"/>
        <w:jc w:val="center"/>
        <w:rPr>
          <w:rFonts w:asciiTheme="minorHAnsi" w:eastAsiaTheme="minorHAnsi" w:hAnsiTheme="minorHAnsi" w:cstheme="minorBidi"/>
          <w:noProof/>
          <w:lang w:val="en-US" w:eastAsia="en-US"/>
        </w:rPr>
      </w:pPr>
      <w:r w:rsidRPr="00DD0435">
        <w:rPr>
          <w:rFonts w:asciiTheme="minorHAnsi" w:eastAsiaTheme="minorHAnsi" w:hAnsiTheme="minorHAnsi" w:cstheme="minorBidi"/>
          <w:noProof/>
          <w:lang w:val="en-US" w:eastAsia="en-US"/>
        </w:rPr>
        <w:t>and Belzona 1341 (Supermetalglide)</w:t>
      </w:r>
    </w:p>
    <w:p w:rsidR="00DD0435" w:rsidRPr="00DD0435" w:rsidRDefault="00DD0435" w:rsidP="00DD0435">
      <w:pPr>
        <w:spacing w:line="276" w:lineRule="auto"/>
        <w:jc w:val="center"/>
        <w:rPr>
          <w:rFonts w:asciiTheme="minorHAnsi" w:eastAsiaTheme="minorHAnsi" w:hAnsiTheme="minorHAnsi" w:cstheme="minorBidi"/>
          <w:lang w:val="en-US" w:eastAsia="en-US"/>
        </w:rPr>
      </w:pPr>
    </w:p>
    <w:p w:rsidR="00DD0435" w:rsidRPr="00DD0435" w:rsidRDefault="00DD0435" w:rsidP="00DD0435">
      <w:pPr>
        <w:spacing w:after="200" w:line="276" w:lineRule="auto"/>
        <w:jc w:val="both"/>
        <w:rPr>
          <w:rFonts w:asciiTheme="minorHAnsi" w:eastAsiaTheme="minorHAnsi" w:hAnsiTheme="minorHAnsi" w:cstheme="minorBidi"/>
          <w:lang w:val="en-US" w:eastAsia="en-US"/>
        </w:rPr>
      </w:pPr>
      <w:r w:rsidRPr="00DD0435">
        <w:rPr>
          <w:rFonts w:asciiTheme="minorHAnsi" w:eastAsiaTheme="minorHAnsi" w:hAnsiTheme="minorHAnsi" w:cstheme="minorBidi"/>
          <w:lang w:val="en-US" w:eastAsia="en-US"/>
        </w:rPr>
        <w:t>As a result of the smoother surface and reduction in flow resistance and friction, the hydraulic performance of the pump can be increased. Graph 2 shows the performance curves of a single stage, end suction centrifugal pump with a 250 mm suction and discharge branches before and after being coated with Belzona 1341. This test was performed by the British National Engineering Laboratories (N.E.L.) and the pump, in uncoated condition and running at 1,300 rpm, was originally found to deliver 875 m</w:t>
      </w:r>
      <w:r w:rsidRPr="00DD0435">
        <w:rPr>
          <w:rFonts w:asciiTheme="minorHAnsi" w:eastAsiaTheme="minorHAnsi" w:hAnsiTheme="minorHAnsi" w:cstheme="minorBidi"/>
          <w:vertAlign w:val="superscript"/>
          <w:lang w:val="en-US" w:eastAsia="en-US"/>
        </w:rPr>
        <w:t>3</w:t>
      </w:r>
      <w:r w:rsidRPr="00DD0435">
        <w:rPr>
          <w:rFonts w:asciiTheme="minorHAnsi" w:eastAsiaTheme="minorHAnsi" w:hAnsiTheme="minorHAnsi" w:cstheme="minorBidi"/>
          <w:lang w:val="en-US" w:eastAsia="en-US"/>
        </w:rPr>
        <w:t xml:space="preserve">/h at 26.5 meters head and with overall peak efficiency of 83.5% (overall efficiency defined as the ratio of water power output to mechanical power input at the shaft). </w:t>
      </w:r>
    </w:p>
    <w:p w:rsidR="00DD0435" w:rsidRPr="00DD0435" w:rsidRDefault="00DD0435" w:rsidP="00DD0435">
      <w:pPr>
        <w:spacing w:after="200" w:line="276" w:lineRule="auto"/>
        <w:jc w:val="both"/>
        <w:rPr>
          <w:rFonts w:asciiTheme="minorHAnsi" w:eastAsiaTheme="minorHAnsi" w:hAnsiTheme="minorHAnsi" w:cstheme="minorBidi"/>
          <w:lang w:val="en-US" w:eastAsia="en-US"/>
        </w:rPr>
      </w:pPr>
      <w:r w:rsidRPr="00DD0435">
        <w:rPr>
          <w:rFonts w:asciiTheme="minorHAnsi" w:eastAsiaTheme="minorHAnsi" w:hAnsiTheme="minorHAnsi" w:cstheme="minorBidi"/>
          <w:lang w:val="en-US" w:eastAsia="en-US"/>
        </w:rPr>
        <w:t>Testing of the Belzona 1341 coated pump gave a maximum of 6% increase in the peak efficiency and a reduction in power consumption of 5.1 kWh at duty point. Assuming a 5,000 hours operating cycle/annum, the power savings over this period would amount to 25,500 kWh.</w:t>
      </w:r>
    </w:p>
    <w:p w:rsidR="00DD0435" w:rsidRPr="00DD0435" w:rsidRDefault="00DD0435" w:rsidP="00DD0435">
      <w:pPr>
        <w:spacing w:after="200" w:line="276" w:lineRule="auto"/>
        <w:jc w:val="center"/>
        <w:rPr>
          <w:rFonts w:asciiTheme="minorHAnsi" w:eastAsiaTheme="minorHAnsi" w:hAnsiTheme="minorHAnsi" w:cstheme="minorBidi"/>
          <w:lang w:val="en-US" w:eastAsia="en-US"/>
        </w:rPr>
      </w:pPr>
      <w:r w:rsidRPr="00DD0435">
        <w:rPr>
          <w:rFonts w:ascii="Times New Roman" w:eastAsiaTheme="minorHAnsi" w:hAnsi="Times New Roman"/>
          <w:noProof/>
          <w:sz w:val="24"/>
          <w:szCs w:val="24"/>
          <w:lang w:val="en-US" w:eastAsia="en-US"/>
        </w:rPr>
        <w:lastRenderedPageBreak/>
        <mc:AlternateContent>
          <mc:Choice Requires="wps">
            <w:drawing>
              <wp:anchor distT="0" distB="0" distL="114300" distR="114300" simplePos="0" relativeHeight="251662336" behindDoc="0" locked="0" layoutInCell="1" allowOverlap="1" wp14:anchorId="2FC0AC44" wp14:editId="0D9D6820">
                <wp:simplePos x="0" y="0"/>
                <wp:positionH relativeFrom="column">
                  <wp:posOffset>1287780</wp:posOffset>
                </wp:positionH>
                <wp:positionV relativeFrom="paragraph">
                  <wp:posOffset>2767330</wp:posOffset>
                </wp:positionV>
                <wp:extent cx="3765550" cy="507365"/>
                <wp:effectExtent l="0" t="0" r="6350" b="69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0" cy="507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435" w:rsidRPr="002C2478" w:rsidRDefault="00DD0435" w:rsidP="00DD0435">
                            <w:pPr>
                              <w:jc w:val="center"/>
                            </w:pPr>
                            <w:r w:rsidRPr="00532103">
                              <w:t>Graph 2:</w:t>
                            </w:r>
                            <w:r w:rsidRPr="002C2478">
                              <w:t xml:space="preserve"> Performance curve of a new pump before and after </w:t>
                            </w:r>
                            <w:r>
                              <w:t>coating with</w:t>
                            </w:r>
                            <w:r w:rsidRPr="002C2478">
                              <w:t xml:space="preserve"> Belzona </w:t>
                            </w:r>
                            <w:r>
                              <w:t>1341</w:t>
                            </w:r>
                            <w:r w:rsidRPr="002C2478">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01.4pt;margin-top:217.9pt;width:296.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" stroked="f">
                <v:textbox>
                  <w:txbxContent>
                    <w:p w:rsidR="00DD0435" w:rsidRPr="002C2478" w:rsidRDefault="00DD0435" w:rsidP="00DD0435">
                      <w:pPr>
                        <w:jc w:val="center"/>
                      </w:pPr>
                      <w:r w:rsidRPr="00532103">
                        <w:t>Graph 2:</w:t>
                      </w:r>
                      <w:r w:rsidRPr="002C2478">
                        <w:t xml:space="preserve"> Performance curve of a new pump before and after </w:t>
                      </w:r>
                      <w:r>
                        <w:t>coating with</w:t>
                      </w:r>
                      <w:r w:rsidRPr="002C2478">
                        <w:t xml:space="preserve"> Belzona </w:t>
                      </w:r>
                      <w:r>
                        <w:t>1341</w:t>
                      </w:r>
                      <w:r w:rsidRPr="002C2478">
                        <w:t xml:space="preserve"> </w:t>
                      </w:r>
                    </w:p>
                  </w:txbxContent>
                </v:textbox>
              </v:shape>
            </w:pict>
          </mc:Fallback>
        </mc:AlternateContent>
      </w:r>
      <w:r w:rsidRPr="00DD0435">
        <w:rPr>
          <w:rFonts w:asciiTheme="minorHAnsi" w:eastAsiaTheme="minorHAnsi" w:hAnsiTheme="minorHAnsi" w:cstheme="minorBidi"/>
          <w:noProof/>
          <w:lang w:val="en-US" w:eastAsia="en-US"/>
        </w:rPr>
        <w:drawing>
          <wp:inline distT="0" distB="0" distL="0" distR="0" wp14:anchorId="6AB048AC" wp14:editId="07E0DF68">
            <wp:extent cx="2952750" cy="2647950"/>
            <wp:effectExtent l="0" t="0" r="0" b="0"/>
            <wp:docPr id="7" name="Picture 7" descr="1341 graph"/>
            <wp:cNvGraphicFramePr/>
            <a:graphic xmlns:a="http://schemas.openxmlformats.org/drawingml/2006/main">
              <a:graphicData uri="http://schemas.openxmlformats.org/drawingml/2006/picture">
                <pic:pic xmlns:pic="http://schemas.openxmlformats.org/drawingml/2006/picture">
                  <pic:nvPicPr>
                    <pic:cNvPr id="8" name="Picture 8" descr="1341 graph"/>
                    <pic:cNvPicPr/>
                  </pic:nvPicPr>
                  <pic:blipFill>
                    <a:blip r:embed="rId13" cstate="print">
                      <a:extLst>
                        <a:ext uri="{28A0092B-C50C-407E-A947-70E740481C1C}">
                          <a14:useLocalDpi xmlns:a14="http://schemas.microsoft.com/office/drawing/2010/main" val="0"/>
                        </a:ext>
                      </a:extLst>
                    </a:blip>
                    <a:srcRect l="2437" t="2684" r="838" b="1595"/>
                    <a:stretch>
                      <a:fillRect/>
                    </a:stretch>
                  </pic:blipFill>
                  <pic:spPr bwMode="auto">
                    <a:xfrm>
                      <a:off x="0" y="0"/>
                      <a:ext cx="2952750" cy="2647950"/>
                    </a:xfrm>
                    <a:prstGeom prst="rect">
                      <a:avLst/>
                    </a:prstGeom>
                    <a:noFill/>
                    <a:ln>
                      <a:noFill/>
                    </a:ln>
                  </pic:spPr>
                </pic:pic>
              </a:graphicData>
            </a:graphic>
          </wp:inline>
        </w:drawing>
      </w:r>
    </w:p>
    <w:p w:rsidR="00DD0435" w:rsidRPr="00DD0435" w:rsidRDefault="00DD0435" w:rsidP="00DD0435">
      <w:pPr>
        <w:spacing w:after="200" w:line="276" w:lineRule="auto"/>
        <w:jc w:val="both"/>
        <w:rPr>
          <w:rFonts w:asciiTheme="minorHAnsi" w:eastAsiaTheme="minorHAnsi" w:hAnsiTheme="minorHAnsi" w:cstheme="minorBidi"/>
          <w:lang w:val="en-US" w:eastAsia="en-US"/>
        </w:rPr>
      </w:pPr>
    </w:p>
    <w:p w:rsidR="00DD0435" w:rsidRPr="00DD0435" w:rsidRDefault="00DD0435" w:rsidP="00DD0435">
      <w:pPr>
        <w:spacing w:after="200" w:line="276" w:lineRule="auto"/>
        <w:jc w:val="both"/>
        <w:rPr>
          <w:rFonts w:asciiTheme="minorHAnsi" w:eastAsiaTheme="minorHAnsi" w:hAnsiTheme="minorHAnsi" w:cstheme="minorBidi"/>
          <w:lang w:val="en-US" w:eastAsia="en-US"/>
        </w:rPr>
      </w:pPr>
    </w:p>
    <w:p w:rsidR="00DD0435" w:rsidRPr="00DD0435" w:rsidRDefault="00DD0435" w:rsidP="00DD0435">
      <w:pPr>
        <w:spacing w:after="200" w:line="276" w:lineRule="auto"/>
        <w:jc w:val="both"/>
        <w:rPr>
          <w:rFonts w:asciiTheme="minorHAnsi" w:eastAsiaTheme="minorHAnsi" w:hAnsiTheme="minorHAnsi" w:cstheme="minorBidi"/>
          <w:lang w:val="en-US" w:eastAsia="en-US"/>
        </w:rPr>
      </w:pPr>
      <w:r w:rsidRPr="00DD0435">
        <w:rPr>
          <w:rFonts w:asciiTheme="minorHAnsi" w:eastAsiaTheme="minorHAnsi" w:hAnsiTheme="minorHAnsi" w:cstheme="minorBidi"/>
          <w:lang w:val="en-US" w:eastAsia="en-US"/>
        </w:rPr>
        <w:t xml:space="preserve">Similar results have been measured by many pump manufacturers around the world, and feedback on industrial equipment protected with this coating show that it is possible to achieve a return in excess of new pump. </w:t>
      </w:r>
    </w:p>
    <w:p w:rsidR="00DD0435" w:rsidRPr="00DD0435" w:rsidRDefault="00DD0435" w:rsidP="00DD0435">
      <w:pPr>
        <w:spacing w:after="200" w:line="276" w:lineRule="auto"/>
        <w:rPr>
          <w:rFonts w:asciiTheme="minorHAnsi" w:eastAsiaTheme="minorHAnsi" w:hAnsiTheme="minorHAnsi" w:cstheme="minorBidi"/>
          <w:b/>
          <w:lang w:val="en-US" w:eastAsia="en-US"/>
        </w:rPr>
      </w:pPr>
      <w:r w:rsidRPr="00DD0435">
        <w:rPr>
          <w:rFonts w:asciiTheme="minorHAnsi" w:eastAsiaTheme="minorHAnsi" w:hAnsiTheme="minorHAnsi" w:cstheme="minorBidi"/>
          <w:b/>
          <w:lang w:val="en-US" w:eastAsia="en-US"/>
        </w:rPr>
        <w:t xml:space="preserve">Pump efficiency enhancement with 4 months return of investment </w:t>
      </w:r>
    </w:p>
    <w:p w:rsidR="00DD0435" w:rsidRPr="00DD0435" w:rsidRDefault="00DD0435" w:rsidP="00DD0435">
      <w:pPr>
        <w:spacing w:after="200" w:line="276" w:lineRule="auto"/>
        <w:jc w:val="both"/>
        <w:rPr>
          <w:rFonts w:asciiTheme="minorHAnsi" w:eastAsiaTheme="minorHAnsi" w:hAnsiTheme="minorHAnsi" w:cstheme="minorBidi"/>
          <w:lang w:val="en-US" w:eastAsia="en-US"/>
        </w:rPr>
      </w:pPr>
      <w:r w:rsidRPr="00DD0435">
        <w:rPr>
          <w:rFonts w:asciiTheme="minorHAnsi" w:eastAsiaTheme="minorHAnsi" w:hAnsiTheme="minorHAnsi" w:cstheme="minorBidi"/>
          <w:lang w:val="en-US" w:eastAsia="en-US"/>
        </w:rPr>
        <w:t xml:space="preserve">In 2013, a water elevation plant in Portugal was looking for a solution to improve its hydraulic efficiency. This plant was chosen because of its high energy consumption and costs, with an annual consumption of 1.7 </w:t>
      </w:r>
      <w:proofErr w:type="spellStart"/>
      <w:r w:rsidRPr="00DD0435">
        <w:rPr>
          <w:rFonts w:asciiTheme="minorHAnsi" w:eastAsiaTheme="minorHAnsi" w:hAnsiTheme="minorHAnsi" w:cstheme="minorBidi"/>
          <w:lang w:val="en-US" w:eastAsia="en-US"/>
        </w:rPr>
        <w:t>GWh</w:t>
      </w:r>
      <w:proofErr w:type="spellEnd"/>
      <w:r w:rsidRPr="00DD0435">
        <w:rPr>
          <w:rFonts w:asciiTheme="minorHAnsi" w:eastAsiaTheme="minorHAnsi" w:hAnsiTheme="minorHAnsi" w:cstheme="minorBidi"/>
          <w:lang w:val="en-US" w:eastAsia="en-US"/>
        </w:rPr>
        <w:t>/year and a volume of water propelled of 1.2 Mm</w:t>
      </w:r>
      <w:r w:rsidRPr="00DD0435">
        <w:rPr>
          <w:rFonts w:asciiTheme="minorHAnsi" w:eastAsiaTheme="minorHAnsi" w:hAnsiTheme="minorHAnsi" w:cstheme="minorBidi"/>
          <w:vertAlign w:val="superscript"/>
          <w:lang w:val="en-US" w:eastAsia="en-US"/>
        </w:rPr>
        <w:t>3</w:t>
      </w:r>
      <w:r w:rsidRPr="00DD0435">
        <w:rPr>
          <w:rFonts w:asciiTheme="minorHAnsi" w:eastAsiaTheme="minorHAnsi" w:hAnsiTheme="minorHAnsi" w:cstheme="minorBidi"/>
          <w:lang w:val="en-US" w:eastAsia="en-US"/>
        </w:rPr>
        <w:t>/year recorded in 2012.</w:t>
      </w:r>
    </w:p>
    <w:p w:rsidR="00DD0435" w:rsidRPr="00DD0435" w:rsidRDefault="00DD0435" w:rsidP="00DD0435">
      <w:pPr>
        <w:spacing w:after="200" w:line="276" w:lineRule="auto"/>
        <w:jc w:val="both"/>
        <w:rPr>
          <w:rFonts w:asciiTheme="minorHAnsi" w:eastAsiaTheme="minorHAnsi" w:hAnsiTheme="minorHAnsi" w:cstheme="minorBidi"/>
          <w:lang w:val="en-US" w:eastAsia="en-US"/>
        </w:rPr>
      </w:pPr>
      <w:r w:rsidRPr="00DD0435">
        <w:rPr>
          <w:rFonts w:asciiTheme="minorHAnsi" w:eastAsiaTheme="minorHAnsi" w:hAnsiTheme="minorHAnsi" w:cstheme="minorBidi"/>
          <w:lang w:val="en-US" w:eastAsia="en-US"/>
        </w:rPr>
        <w:t>The client was looking for a reliable and long-term solution to restore the damaged pump while reducing internal friction in the impeller and volute to enhance hydraulic efficiency. An internal pump coating was chosen to maximize water flow and reduce energy consumption while reducing internal wear and minimize future maintenance actions.</w:t>
      </w:r>
    </w:p>
    <w:p w:rsidR="00DD0435" w:rsidRPr="00DD0435" w:rsidRDefault="00DD0435" w:rsidP="00DD0435">
      <w:pPr>
        <w:spacing w:after="200" w:line="276" w:lineRule="auto"/>
        <w:jc w:val="both"/>
        <w:rPr>
          <w:rFonts w:asciiTheme="minorHAnsi" w:eastAsiaTheme="minorHAnsi" w:hAnsiTheme="minorHAnsi" w:cstheme="minorBidi"/>
          <w:lang w:val="en-US" w:eastAsia="en-US"/>
        </w:rPr>
      </w:pPr>
      <w:r w:rsidRPr="00DD0435">
        <w:rPr>
          <w:rFonts w:asciiTheme="minorHAnsi" w:eastAsiaTheme="minorHAnsi" w:hAnsiTheme="minorHAnsi" w:cstheme="minorBidi"/>
          <w:lang w:val="en-US" w:eastAsia="en-US"/>
        </w:rPr>
        <w:t>The pump was disassembled and all internal surfaces were grit blasted to remove the previous coating, creating a substrate cleanliness of at least SA2</w:t>
      </w:r>
      <w:proofErr w:type="gramStart"/>
      <w:r w:rsidRPr="00DD0435">
        <w:rPr>
          <w:rFonts w:asciiTheme="minorHAnsi" w:eastAsiaTheme="minorHAnsi" w:hAnsiTheme="minorHAnsi" w:cstheme="minorBidi"/>
          <w:lang w:val="en-US" w:eastAsia="en-US"/>
        </w:rPr>
        <w:t>,5</w:t>
      </w:r>
      <w:proofErr w:type="gramEnd"/>
      <w:r w:rsidRPr="00DD0435">
        <w:rPr>
          <w:rFonts w:asciiTheme="minorHAnsi" w:eastAsiaTheme="minorHAnsi" w:hAnsiTheme="minorHAnsi" w:cstheme="minorBidi"/>
          <w:lang w:val="en-US" w:eastAsia="en-US"/>
        </w:rPr>
        <w:t xml:space="preserve"> and a surface profile of at least 75μ. The surface was then cleaned and examined to ensure that it was free of dust and other particles.</w:t>
      </w:r>
    </w:p>
    <w:p w:rsidR="00DD0435" w:rsidRPr="00DD0435" w:rsidRDefault="00DD0435" w:rsidP="00DD0435">
      <w:pPr>
        <w:spacing w:after="200" w:line="276" w:lineRule="auto"/>
        <w:jc w:val="both"/>
        <w:rPr>
          <w:rFonts w:asciiTheme="minorHAnsi" w:eastAsiaTheme="minorHAnsi" w:hAnsiTheme="minorHAnsi" w:cstheme="minorBidi"/>
          <w:lang w:val="en-US" w:eastAsia="en-US"/>
        </w:rPr>
      </w:pPr>
      <w:r w:rsidRPr="00DD0435">
        <w:rPr>
          <w:rFonts w:asciiTheme="minorHAnsi" w:eastAsiaTheme="minorHAnsi" w:hAnsiTheme="minorHAnsi" w:cstheme="minorBidi"/>
          <w:lang w:val="en-US" w:eastAsia="en-US"/>
        </w:rPr>
        <w:t>After grit blasting, the application areas were masked for the application of Belzona 1111 (Super Metal), an epoxy paste grade composite for metal repair. Simply applied using an applicator provided with the product, this material was used to reconstruct the areas damaged by corrosion, rebuilding the original surface profile. This solvent free composite provides excellent corrosion resistance and ensures the substrate is protected when it comes in contact with an abrasive material.</w:t>
      </w:r>
    </w:p>
    <w:p w:rsidR="00DD0435" w:rsidRPr="00DD0435" w:rsidRDefault="00DD0435" w:rsidP="00DD0435">
      <w:pPr>
        <w:spacing w:after="200" w:line="276" w:lineRule="auto"/>
        <w:jc w:val="both"/>
        <w:rPr>
          <w:rFonts w:asciiTheme="minorHAnsi" w:eastAsiaTheme="minorHAnsi" w:hAnsiTheme="minorHAnsi" w:cstheme="minorBidi"/>
          <w:lang w:val="en-US" w:eastAsia="en-US"/>
        </w:rPr>
      </w:pPr>
      <w:r w:rsidRPr="00DD0435">
        <w:rPr>
          <w:rFonts w:asciiTheme="minorHAnsi" w:eastAsiaTheme="minorHAnsi" w:hAnsiTheme="minorHAnsi" w:cstheme="minorBidi"/>
          <w:lang w:val="en-US" w:eastAsia="en-US"/>
        </w:rPr>
        <w:lastRenderedPageBreak/>
        <w:t xml:space="preserve">Within the two-hour over coating window, the first coat of Belzona 1341 (Supermetalglide) was applied by brush, followed by a second coat to obtain a total dry film thickness of 500μ. This coating was specified because it provides protection against erosion and long-term corrosion of equipment, whilst improving the efficiency of the pump. </w:t>
      </w:r>
    </w:p>
    <w:p w:rsidR="00DD0435" w:rsidRPr="00DD0435" w:rsidRDefault="00DD0435" w:rsidP="00DD0435">
      <w:pPr>
        <w:spacing w:after="200" w:line="276" w:lineRule="auto"/>
        <w:jc w:val="center"/>
        <w:rPr>
          <w:rFonts w:asciiTheme="minorHAnsi" w:eastAsiaTheme="minorHAnsi" w:hAnsiTheme="minorHAnsi" w:cstheme="minorBidi"/>
          <w:lang w:val="fr-FR" w:eastAsia="en-US"/>
        </w:rPr>
      </w:pPr>
    </w:p>
    <w:p w:rsidR="00DD0435" w:rsidRPr="00DD0435" w:rsidRDefault="00DD0435" w:rsidP="00DD0435">
      <w:pPr>
        <w:tabs>
          <w:tab w:val="left" w:pos="2670"/>
        </w:tabs>
        <w:spacing w:after="200" w:line="276" w:lineRule="auto"/>
        <w:jc w:val="center"/>
        <w:rPr>
          <w:rFonts w:asciiTheme="minorHAnsi" w:eastAsiaTheme="minorHAnsi" w:hAnsiTheme="minorHAnsi" w:cstheme="minorBidi"/>
          <w:lang w:val="en-US" w:eastAsia="en-US"/>
        </w:rPr>
      </w:pPr>
      <w:r w:rsidRPr="00DD0435">
        <w:rPr>
          <w:rFonts w:asciiTheme="minorHAnsi" w:eastAsiaTheme="minorHAnsi" w:hAnsiTheme="minorHAnsi" w:cstheme="minorBidi"/>
          <w:lang w:val="en-US" w:eastAsia="en-US"/>
        </w:rPr>
        <w:t>Picture 1: Pump impeller before application     Picture 2: Pump impeller repaired and coated</w:t>
      </w:r>
    </w:p>
    <w:p w:rsidR="00DD0435" w:rsidRPr="00DD0435" w:rsidRDefault="00DD0435" w:rsidP="00DD0435">
      <w:pPr>
        <w:spacing w:after="200" w:line="276" w:lineRule="auto"/>
        <w:jc w:val="both"/>
        <w:rPr>
          <w:rFonts w:asciiTheme="minorHAnsi" w:eastAsiaTheme="minorHAnsi" w:hAnsiTheme="minorHAnsi" w:cstheme="minorBidi"/>
          <w:lang w:val="fr-FR" w:eastAsia="en-US"/>
        </w:rPr>
      </w:pPr>
    </w:p>
    <w:p w:rsidR="00DD0435" w:rsidRPr="00DD0435" w:rsidRDefault="00DD0435" w:rsidP="00DD0435">
      <w:pPr>
        <w:spacing w:after="200" w:line="276" w:lineRule="auto"/>
        <w:jc w:val="both"/>
        <w:rPr>
          <w:rFonts w:asciiTheme="minorHAnsi" w:eastAsiaTheme="minorHAnsi" w:hAnsiTheme="minorHAnsi" w:cstheme="minorBidi"/>
          <w:lang w:val="en-US" w:eastAsia="en-US"/>
        </w:rPr>
      </w:pPr>
      <w:r w:rsidRPr="00DD0435">
        <w:rPr>
          <w:rFonts w:asciiTheme="minorHAnsi" w:eastAsiaTheme="minorHAnsi" w:hAnsiTheme="minorHAnsi" w:cstheme="minorBidi"/>
          <w:lang w:val="en-US" w:eastAsia="en-US"/>
        </w:rPr>
        <w:t>Picture 3: Pump before application                        Picture 4: Belzona 1341 (Supermetalglide) applied</w:t>
      </w:r>
    </w:p>
    <w:p w:rsidR="00DD0435" w:rsidRPr="00DD0435" w:rsidRDefault="00DD0435" w:rsidP="00DD0435">
      <w:pPr>
        <w:spacing w:after="200" w:line="276" w:lineRule="auto"/>
        <w:jc w:val="both"/>
        <w:rPr>
          <w:rFonts w:asciiTheme="minorHAnsi" w:eastAsiaTheme="minorHAnsi" w:hAnsiTheme="minorHAnsi" w:cstheme="minorBidi"/>
          <w:lang w:val="en-US" w:eastAsia="en-US"/>
        </w:rPr>
      </w:pPr>
    </w:p>
    <w:p w:rsidR="00DD0435" w:rsidRPr="00DD0435" w:rsidRDefault="00DD0435" w:rsidP="00DD0435">
      <w:pPr>
        <w:spacing w:after="200" w:line="276" w:lineRule="auto"/>
        <w:jc w:val="both"/>
        <w:rPr>
          <w:rFonts w:asciiTheme="minorHAnsi" w:eastAsiaTheme="minorHAnsi" w:hAnsiTheme="minorHAnsi" w:cstheme="minorBidi"/>
          <w:lang w:val="en-US" w:eastAsia="en-US"/>
        </w:rPr>
      </w:pPr>
      <w:r w:rsidRPr="00DD0435">
        <w:rPr>
          <w:rFonts w:asciiTheme="minorHAnsi" w:eastAsiaTheme="minorHAnsi" w:hAnsiTheme="minorHAnsi" w:cstheme="minorBidi"/>
          <w:lang w:val="en-US" w:eastAsia="en-US"/>
        </w:rPr>
        <w:t>The main results after coating the pump and changes to the programming of the water elevation plan were:</w:t>
      </w:r>
    </w:p>
    <w:p w:rsidR="00DD0435" w:rsidRPr="00DD0435" w:rsidRDefault="00DD0435" w:rsidP="00DD0435">
      <w:pPr>
        <w:spacing w:after="200" w:line="276" w:lineRule="auto"/>
        <w:jc w:val="both"/>
        <w:rPr>
          <w:rFonts w:asciiTheme="minorHAnsi" w:eastAsiaTheme="minorHAnsi" w:hAnsiTheme="minorHAnsi" w:cstheme="minorBidi"/>
          <w:lang w:val="en-US" w:eastAsia="en-US"/>
        </w:rPr>
      </w:pPr>
      <w:r w:rsidRPr="00DD0435">
        <w:rPr>
          <w:rFonts w:asciiTheme="minorHAnsi" w:eastAsiaTheme="minorHAnsi" w:hAnsiTheme="minorHAnsi" w:cstheme="minorBidi"/>
          <w:lang w:val="en-US" w:eastAsia="en-US"/>
        </w:rPr>
        <w:t>• Reduced energy consumption during non-peak hours 44.9% to 39.3% (-12.5%)</w:t>
      </w:r>
    </w:p>
    <w:p w:rsidR="00DD0435" w:rsidRPr="00DD0435" w:rsidRDefault="00DD0435" w:rsidP="00DD0435">
      <w:pPr>
        <w:spacing w:after="200" w:line="276" w:lineRule="auto"/>
        <w:jc w:val="both"/>
        <w:rPr>
          <w:rFonts w:asciiTheme="minorHAnsi" w:eastAsiaTheme="minorHAnsi" w:hAnsiTheme="minorHAnsi" w:cstheme="minorBidi"/>
          <w:lang w:val="en-US" w:eastAsia="en-US"/>
        </w:rPr>
      </w:pPr>
      <w:r w:rsidRPr="00DD0435">
        <w:rPr>
          <w:rFonts w:asciiTheme="minorHAnsi" w:eastAsiaTheme="minorHAnsi" w:hAnsiTheme="minorHAnsi" w:cstheme="minorBidi"/>
          <w:lang w:val="en-US" w:eastAsia="en-US"/>
        </w:rPr>
        <w:t>• Reduced energy consumption by 14.9% (kW / m3), 147,247 KW/h recorded in eight months</w:t>
      </w:r>
    </w:p>
    <w:p w:rsidR="00DD0435" w:rsidRPr="00DD0435" w:rsidRDefault="00DD0435" w:rsidP="00DD0435">
      <w:pPr>
        <w:spacing w:after="200" w:line="276" w:lineRule="auto"/>
        <w:jc w:val="both"/>
        <w:rPr>
          <w:rFonts w:asciiTheme="minorHAnsi" w:eastAsiaTheme="minorHAnsi" w:hAnsiTheme="minorHAnsi" w:cstheme="minorBidi"/>
          <w:lang w:val="en-US" w:eastAsia="en-US"/>
        </w:rPr>
      </w:pPr>
      <w:r w:rsidRPr="00DD0435">
        <w:rPr>
          <w:rFonts w:asciiTheme="minorHAnsi" w:eastAsiaTheme="minorHAnsi" w:hAnsiTheme="minorHAnsi" w:cstheme="minorBidi"/>
          <w:lang w:val="en-US" w:eastAsia="en-US"/>
        </w:rPr>
        <w:t>• 20.3% cost reduction</w:t>
      </w:r>
    </w:p>
    <w:p w:rsidR="00DD0435" w:rsidRPr="00DD0435" w:rsidRDefault="00DD0435" w:rsidP="00DD0435">
      <w:pPr>
        <w:spacing w:after="200" w:line="276" w:lineRule="auto"/>
        <w:jc w:val="both"/>
        <w:rPr>
          <w:rFonts w:asciiTheme="minorHAnsi" w:eastAsiaTheme="minorHAnsi" w:hAnsiTheme="minorHAnsi" w:cstheme="minorBidi"/>
          <w:lang w:val="en-US" w:eastAsia="en-US"/>
        </w:rPr>
      </w:pPr>
      <w:r w:rsidRPr="00DD0435">
        <w:rPr>
          <w:rFonts w:asciiTheme="minorHAnsi" w:eastAsiaTheme="minorHAnsi" w:hAnsiTheme="minorHAnsi" w:cstheme="minorBidi"/>
          <w:lang w:val="en-US" w:eastAsia="en-US"/>
        </w:rPr>
        <w:t>• ROI: 4 months of operation</w:t>
      </w:r>
    </w:p>
    <w:p w:rsidR="00DD0435" w:rsidRPr="00DD0435" w:rsidRDefault="00DD0435" w:rsidP="00DD0435">
      <w:pPr>
        <w:spacing w:after="200" w:line="276" w:lineRule="auto"/>
        <w:rPr>
          <w:rFonts w:asciiTheme="minorHAnsi" w:eastAsiaTheme="minorHAnsi" w:hAnsiTheme="minorHAnsi" w:cstheme="minorBidi"/>
          <w:lang w:val="en-US" w:eastAsia="en-US"/>
        </w:rPr>
      </w:pPr>
    </w:p>
    <w:p w:rsidR="00DD0435" w:rsidRPr="00DD0435" w:rsidRDefault="00DD0435" w:rsidP="00DD0435">
      <w:pPr>
        <w:spacing w:after="200" w:line="276" w:lineRule="auto"/>
        <w:jc w:val="center"/>
        <w:rPr>
          <w:rFonts w:asciiTheme="minorHAnsi" w:eastAsiaTheme="minorHAnsi" w:hAnsiTheme="minorHAnsi" w:cstheme="minorBidi"/>
          <w:lang w:val="fr-FR" w:eastAsia="en-US"/>
        </w:rPr>
      </w:pPr>
      <w:r w:rsidRPr="00DD0435">
        <w:rPr>
          <w:rFonts w:asciiTheme="minorHAnsi" w:eastAsiaTheme="minorHAnsi" w:hAnsiTheme="minorHAnsi" w:cstheme="minorBidi"/>
          <w:noProof/>
          <w:lang w:val="en-US" w:eastAsia="en-US"/>
        </w:rPr>
        <mc:AlternateContent>
          <mc:Choice Requires="wps">
            <w:drawing>
              <wp:anchor distT="0" distB="0" distL="114300" distR="114300" simplePos="0" relativeHeight="251663360" behindDoc="0" locked="0" layoutInCell="1" allowOverlap="1" wp14:anchorId="77146FA0" wp14:editId="660B53C5">
                <wp:simplePos x="0" y="0"/>
                <wp:positionH relativeFrom="column">
                  <wp:posOffset>5769610</wp:posOffset>
                </wp:positionH>
                <wp:positionV relativeFrom="paragraph">
                  <wp:posOffset>1908988</wp:posOffset>
                </wp:positionV>
                <wp:extent cx="694690" cy="279400"/>
                <wp:effectExtent l="0" t="0" r="0" b="0"/>
                <wp:wrapNone/>
                <wp:docPr id="5" name="Text Box 1"/>
                <wp:cNvGraphicFramePr/>
                <a:graphic xmlns:a="http://schemas.openxmlformats.org/drawingml/2006/main">
                  <a:graphicData uri="http://schemas.microsoft.com/office/word/2010/wordprocessingShape">
                    <wps:wsp>
                      <wps:cNvSpPr txBox="1"/>
                      <wps:spPr>
                        <a:xfrm>
                          <a:off x="0" y="0"/>
                          <a:ext cx="694690" cy="279400"/>
                        </a:xfrm>
                        <a:prstGeom prst="rect">
                          <a:avLst/>
                        </a:prstGeom>
                      </wps:spPr>
                      <wps:txbx>
                        <w:txbxContent>
                          <w:p w:rsidR="00DD0435" w:rsidRDefault="00DD0435" w:rsidP="00DD0435">
                            <w:pPr>
                              <w:pStyle w:val="NormalWeb"/>
                            </w:pPr>
                            <w:r>
                              <w:rPr>
                                <w:rFonts w:asciiTheme="minorHAnsi" w:hAnsi="Calibri" w:cstheme="minorBidi"/>
                                <w:sz w:val="21"/>
                                <w:szCs w:val="21"/>
                              </w:rPr>
                              <w:t>Coate</w:t>
                            </w:r>
                            <w:r>
                              <w:rPr>
                                <w:rFonts w:asciiTheme="minorHAnsi" w:hAnsi="Calibri" w:cstheme="minorBidi"/>
                                <w:sz w:val="20"/>
                                <w:szCs w:val="20"/>
                              </w:rPr>
                              <w:t>d</w:t>
                            </w:r>
                          </w:p>
                        </w:txbxContent>
                      </wps:txbx>
                      <wps:bodyPr vertOverflow="clip" wrap="none" rtlCol="0"/>
                    </wps:wsp>
                  </a:graphicData>
                </a:graphic>
              </wp:anchor>
            </w:drawing>
          </mc:Choice>
          <mc:Fallback>
            <w:pict>
              <v:shape id="Text Box 1" o:spid="_x0000_s1027" type="#_x0000_t202" style="position:absolute;left:0;text-align:left;margin-left:454.3pt;margin-top:150.3pt;width:54.7pt;height:22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" filled="f" stroked="f">
                <v:textbox>
                  <w:txbxContent>
                    <w:p w:rsidR="00DD0435" w:rsidRDefault="00DD0435" w:rsidP="00DD0435">
                      <w:pPr>
                        <w:pStyle w:val="NormalWeb"/>
                      </w:pPr>
                      <w:r>
                        <w:rPr>
                          <w:rFonts w:asciiTheme="minorHAnsi" w:hAnsi="Calibri" w:cstheme="minorBidi"/>
                          <w:sz w:val="21"/>
                          <w:szCs w:val="21"/>
                        </w:rPr>
                        <w:t>Coate</w:t>
                      </w:r>
                      <w:r>
                        <w:rPr>
                          <w:rFonts w:asciiTheme="minorHAnsi" w:hAnsi="Calibri" w:cstheme="minorBidi"/>
                          <w:sz w:val="20"/>
                          <w:szCs w:val="20"/>
                        </w:rPr>
                        <w:t>d</w:t>
                      </w:r>
                    </w:p>
                  </w:txbxContent>
                </v:textbox>
              </v:shape>
            </w:pict>
          </mc:Fallback>
        </mc:AlternateContent>
      </w:r>
      <w:r w:rsidRPr="00DD0435">
        <w:rPr>
          <w:rFonts w:asciiTheme="minorHAnsi" w:eastAsiaTheme="minorHAnsi" w:hAnsiTheme="minorHAnsi" w:cstheme="minorBidi"/>
          <w:noProof/>
          <w:lang w:val="en-US" w:eastAsia="en-US"/>
        </w:rPr>
        <w:drawing>
          <wp:inline distT="0" distB="0" distL="0" distR="0" wp14:anchorId="5B999624" wp14:editId="2E21BA4C">
            <wp:extent cx="6466637" cy="3394253"/>
            <wp:effectExtent l="0" t="0" r="10795" b="15875"/>
            <wp:docPr id="15" name="Chart 15" title="Consumo especifico"/>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D0435" w:rsidRPr="00DD0435" w:rsidRDefault="00DD0435" w:rsidP="00DD0435">
      <w:pPr>
        <w:spacing w:after="200" w:line="276" w:lineRule="auto"/>
        <w:jc w:val="center"/>
        <w:rPr>
          <w:rFonts w:asciiTheme="minorHAnsi" w:eastAsiaTheme="minorHAnsi" w:hAnsiTheme="minorHAnsi" w:cstheme="minorBidi"/>
          <w:lang w:val="fr-FR" w:eastAsia="en-US"/>
        </w:rPr>
      </w:pPr>
      <w:r w:rsidRPr="00DD0435">
        <w:rPr>
          <w:rFonts w:asciiTheme="minorHAnsi" w:eastAsiaTheme="minorHAnsi" w:hAnsiTheme="minorHAnsi" w:cstheme="minorBidi"/>
          <w:lang w:val="fr-FR" w:eastAsia="en-US"/>
        </w:rPr>
        <w:lastRenderedPageBreak/>
        <w:t xml:space="preserve">Graph 3: </w:t>
      </w:r>
      <w:proofErr w:type="spellStart"/>
      <w:r w:rsidRPr="00DD0435">
        <w:rPr>
          <w:rFonts w:asciiTheme="minorHAnsi" w:eastAsiaTheme="minorHAnsi" w:hAnsiTheme="minorHAnsi" w:cstheme="minorBidi"/>
          <w:lang w:val="fr-FR" w:eastAsia="en-US"/>
        </w:rPr>
        <w:t>Energy</w:t>
      </w:r>
      <w:proofErr w:type="spellEnd"/>
      <w:r w:rsidRPr="00DD0435">
        <w:rPr>
          <w:rFonts w:asciiTheme="minorHAnsi" w:eastAsiaTheme="minorHAnsi" w:hAnsiTheme="minorHAnsi" w:cstheme="minorBidi"/>
          <w:lang w:val="fr-FR" w:eastAsia="en-US"/>
        </w:rPr>
        <w:t xml:space="preserve"> </w:t>
      </w:r>
      <w:proofErr w:type="spellStart"/>
      <w:r w:rsidRPr="00DD0435">
        <w:rPr>
          <w:rFonts w:asciiTheme="minorHAnsi" w:eastAsiaTheme="minorHAnsi" w:hAnsiTheme="minorHAnsi" w:cstheme="minorBidi"/>
          <w:lang w:val="fr-FR" w:eastAsia="en-US"/>
        </w:rPr>
        <w:t>consumption</w:t>
      </w:r>
      <w:proofErr w:type="spellEnd"/>
      <w:r w:rsidRPr="00DD0435">
        <w:rPr>
          <w:rFonts w:asciiTheme="minorHAnsi" w:eastAsiaTheme="minorHAnsi" w:hAnsiTheme="minorHAnsi" w:cstheme="minorBidi"/>
          <w:lang w:val="fr-FR" w:eastAsia="en-US"/>
        </w:rPr>
        <w:t xml:space="preserve"> </w:t>
      </w:r>
      <w:proofErr w:type="spellStart"/>
      <w:r w:rsidRPr="00DD0435">
        <w:rPr>
          <w:rFonts w:asciiTheme="minorHAnsi" w:eastAsiaTheme="minorHAnsi" w:hAnsiTheme="minorHAnsi" w:cstheme="minorBidi"/>
          <w:lang w:val="fr-FR" w:eastAsia="en-US"/>
        </w:rPr>
        <w:t>comparison</w:t>
      </w:r>
      <w:proofErr w:type="spellEnd"/>
    </w:p>
    <w:p w:rsidR="00DD0435" w:rsidRPr="00DD0435" w:rsidRDefault="00DD0435" w:rsidP="00DD0435">
      <w:pPr>
        <w:spacing w:after="200" w:line="276" w:lineRule="auto"/>
        <w:jc w:val="both"/>
        <w:rPr>
          <w:rFonts w:asciiTheme="minorHAnsi" w:eastAsiaTheme="minorHAnsi" w:hAnsiTheme="minorHAnsi" w:cstheme="minorBidi"/>
          <w:lang w:val="fr-FR" w:eastAsia="en-US"/>
        </w:rPr>
      </w:pPr>
      <w:r w:rsidRPr="00DD0435">
        <w:rPr>
          <w:rFonts w:asciiTheme="minorHAnsi" w:eastAsiaTheme="minorHAnsi" w:hAnsiTheme="minorHAnsi" w:cstheme="minorBidi"/>
          <w:noProof/>
          <w:lang w:val="en-US" w:eastAsia="en-US"/>
        </w:rPr>
        <w:drawing>
          <wp:inline distT="0" distB="0" distL="0" distR="0" wp14:anchorId="5EF4B991" wp14:editId="6D7FE636">
            <wp:extent cx="5943600" cy="3488055"/>
            <wp:effectExtent l="0" t="0" r="0" b="1714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DD0435">
        <w:rPr>
          <w:rFonts w:asciiTheme="minorHAnsi" w:eastAsiaTheme="minorHAnsi" w:hAnsiTheme="minorHAnsi" w:cstheme="minorBidi"/>
          <w:noProof/>
          <w:lang w:val="en-US" w:eastAsia="en-US"/>
        </w:rPr>
        <mc:AlternateContent>
          <mc:Choice Requires="wps">
            <w:drawing>
              <wp:anchor distT="0" distB="0" distL="114300" distR="114300" simplePos="0" relativeHeight="251661312" behindDoc="0" locked="0" layoutInCell="1" allowOverlap="1" wp14:anchorId="5EAF8D17" wp14:editId="0FC4A5B7">
                <wp:simplePos x="0" y="0"/>
                <wp:positionH relativeFrom="column">
                  <wp:posOffset>2733675</wp:posOffset>
                </wp:positionH>
                <wp:positionV relativeFrom="paragraph">
                  <wp:posOffset>3219450</wp:posOffset>
                </wp:positionV>
                <wp:extent cx="442595" cy="415290"/>
                <wp:effectExtent l="0" t="0" r="0" b="0"/>
                <wp:wrapNone/>
                <wp:docPr id="12" name="CaixaDeTexto 1"/>
                <wp:cNvGraphicFramePr/>
                <a:graphic xmlns:a="http://schemas.openxmlformats.org/drawingml/2006/main">
                  <a:graphicData uri="http://schemas.microsoft.com/office/word/2010/wordprocessingShape">
                    <wps:wsp>
                      <wps:cNvSpPr txBox="1"/>
                      <wps:spPr>
                        <a:xfrm>
                          <a:off x="0" y="0"/>
                          <a:ext cx="442595" cy="415290"/>
                        </a:xfrm>
                        <a:prstGeom prst="rect">
                          <a:avLst/>
                        </a:prstGeom>
                      </wps:spPr>
                      <wps:txbx>
                        <w:txbxContent>
                          <w:p w:rsidR="00DD0435" w:rsidRPr="00624550" w:rsidRDefault="00DD0435" w:rsidP="00DD0435">
                            <w:pPr>
                              <w:pStyle w:val="NormalWeb"/>
                            </w:pPr>
                            <w:r w:rsidRPr="00624550">
                              <w:rPr>
                                <w:rFonts w:ascii="Calibri" w:eastAsia="+mn-ea" w:hAnsi="Calibri" w:cs="+mn-cs"/>
                                <w:sz w:val="22"/>
                                <w:szCs w:val="22"/>
                                <w:lang w:val="pt-PT"/>
                              </w:rPr>
                              <w:t>m</w:t>
                            </w:r>
                            <w:r w:rsidRPr="001578B2">
                              <w:rPr>
                                <w:rFonts w:ascii="Calibri" w:eastAsia="+mn-ea" w:hAnsi="Calibri" w:cs="+mn-cs"/>
                                <w:sz w:val="22"/>
                                <w:szCs w:val="22"/>
                                <w:vertAlign w:val="superscript"/>
                                <w:lang w:val="pt-PT"/>
                              </w:rPr>
                              <w:t>3</w:t>
                            </w:r>
                            <w:r w:rsidRPr="00624550">
                              <w:rPr>
                                <w:rFonts w:ascii="Calibri" w:eastAsia="+mn-ea" w:hAnsi="Calibri" w:cs="+mn-cs"/>
                                <w:sz w:val="22"/>
                                <w:szCs w:val="22"/>
                                <w:lang w:val="pt-PT"/>
                              </w:rPr>
                              <w:t>/h</w:t>
                            </w:r>
                          </w:p>
                        </w:txbxContent>
                      </wps:txbx>
                      <wps:bodyPr rot="0" wrap="none" rtlCol="0"/>
                    </wps:wsp>
                  </a:graphicData>
                </a:graphic>
              </wp:anchor>
            </w:drawing>
          </mc:Choice>
          <mc:Fallback>
            <w:pict>
              <v:shape id="CaixaDeTexto 1" o:spid="_x0000_s1028" type="#_x0000_t202" style="position:absolute;left:0;text-align:left;margin-left:215.25pt;margin-top:253.5pt;width:34.85pt;height:32.7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" filled="f" stroked="f">
                <v:textbox>
                  <w:txbxContent>
                    <w:p w:rsidR="00DD0435" w:rsidRPr="00624550" w:rsidRDefault="00DD0435" w:rsidP="00DD0435">
                      <w:pPr>
                        <w:pStyle w:val="NormalWeb"/>
                      </w:pPr>
                      <w:r w:rsidRPr="00624550">
                        <w:rPr>
                          <w:rFonts w:ascii="Calibri" w:eastAsia="+mn-ea" w:hAnsi="Calibri" w:cs="+mn-cs"/>
                          <w:sz w:val="22"/>
                          <w:szCs w:val="22"/>
                          <w:lang w:val="pt-PT"/>
                        </w:rPr>
                        <w:t>m</w:t>
                      </w:r>
                      <w:r w:rsidRPr="001578B2">
                        <w:rPr>
                          <w:rFonts w:ascii="Calibri" w:eastAsia="+mn-ea" w:hAnsi="Calibri" w:cs="+mn-cs"/>
                          <w:sz w:val="22"/>
                          <w:szCs w:val="22"/>
                          <w:vertAlign w:val="superscript"/>
                          <w:lang w:val="pt-PT"/>
                        </w:rPr>
                        <w:t>3</w:t>
                      </w:r>
                      <w:r w:rsidRPr="00624550">
                        <w:rPr>
                          <w:rFonts w:ascii="Calibri" w:eastAsia="+mn-ea" w:hAnsi="Calibri" w:cs="+mn-cs"/>
                          <w:sz w:val="22"/>
                          <w:szCs w:val="22"/>
                          <w:lang w:val="pt-PT"/>
                        </w:rPr>
                        <w:t>/h</w:t>
                      </w:r>
                    </w:p>
                  </w:txbxContent>
                </v:textbox>
              </v:shape>
            </w:pict>
          </mc:Fallback>
        </mc:AlternateContent>
      </w:r>
      <w:r w:rsidRPr="00DD0435">
        <w:rPr>
          <w:rFonts w:asciiTheme="minorHAnsi" w:eastAsiaTheme="minorHAnsi" w:hAnsiTheme="minorHAnsi" w:cstheme="minorBidi"/>
          <w:noProof/>
          <w:lang w:val="en-US" w:eastAsia="en-US"/>
        </w:rPr>
        <mc:AlternateContent>
          <mc:Choice Requires="wps">
            <w:drawing>
              <wp:anchor distT="0" distB="0" distL="114300" distR="114300" simplePos="0" relativeHeight="251660288" behindDoc="0" locked="0" layoutInCell="1" allowOverlap="1" wp14:anchorId="061628B6" wp14:editId="1B248FAF">
                <wp:simplePos x="0" y="0"/>
                <wp:positionH relativeFrom="column">
                  <wp:posOffset>-342900</wp:posOffset>
                </wp:positionH>
                <wp:positionV relativeFrom="paragraph">
                  <wp:posOffset>1266825</wp:posOffset>
                </wp:positionV>
                <wp:extent cx="296545" cy="596265"/>
                <wp:effectExtent l="0" t="0" r="0" b="0"/>
                <wp:wrapNone/>
                <wp:docPr id="11" name="CaixaDeTexto 1"/>
                <wp:cNvGraphicFramePr/>
                <a:graphic xmlns:a="http://schemas.openxmlformats.org/drawingml/2006/main">
                  <a:graphicData uri="http://schemas.microsoft.com/office/word/2010/wordprocessingShape">
                    <wps:wsp>
                      <wps:cNvSpPr txBox="1"/>
                      <wps:spPr>
                        <a:xfrm>
                          <a:off x="0" y="0"/>
                          <a:ext cx="296545" cy="596265"/>
                        </a:xfrm>
                        <a:prstGeom prst="rect">
                          <a:avLst/>
                        </a:prstGeom>
                      </wps:spPr>
                      <wps:txbx>
                        <w:txbxContent>
                          <w:p w:rsidR="00DD0435" w:rsidRPr="00624550" w:rsidRDefault="00DD0435" w:rsidP="00DD0435">
                            <w:pPr>
                              <w:pStyle w:val="NormalWeb"/>
                            </w:pPr>
                            <w:r w:rsidRPr="00624550">
                              <w:rPr>
                                <w:rFonts w:asciiTheme="minorHAnsi" w:hAnsi="Calibri" w:cstheme="minorBidi"/>
                                <w:sz w:val="22"/>
                                <w:szCs w:val="22"/>
                                <w:lang w:val="pt-PT"/>
                              </w:rPr>
                              <w:t>KW/m</w:t>
                            </w:r>
                            <w:r w:rsidRPr="001578B2">
                              <w:rPr>
                                <w:rFonts w:asciiTheme="minorHAnsi" w:hAnsi="Calibri" w:cstheme="minorBidi"/>
                                <w:sz w:val="22"/>
                                <w:szCs w:val="22"/>
                                <w:vertAlign w:val="superscript"/>
                                <w:lang w:val="pt-PT"/>
                              </w:rPr>
                              <w:t>3</w:t>
                            </w:r>
                          </w:p>
                        </w:txbxContent>
                      </wps:txbx>
                      <wps:bodyPr rot="-5400000" vertOverflow="clip" wrap="none" rtlCol="0"/>
                    </wps:wsp>
                  </a:graphicData>
                </a:graphic>
              </wp:anchor>
            </w:drawing>
          </mc:Choice>
          <mc:Fallback>
            <w:pict>
              <v:shape id="_x0000_s1029" type="#_x0000_t202" style="position:absolute;left:0;text-align:left;margin-left:-27pt;margin-top:99.75pt;width:23.35pt;height:46.9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" filled="f" stroked="f">
                <v:textbox style="mso-rotate:270">
                  <w:txbxContent>
                    <w:p w:rsidR="00DD0435" w:rsidRPr="00624550" w:rsidRDefault="00DD0435" w:rsidP="00DD0435">
                      <w:pPr>
                        <w:pStyle w:val="NormalWeb"/>
                      </w:pPr>
                      <w:r w:rsidRPr="00624550">
                        <w:rPr>
                          <w:rFonts w:asciiTheme="minorHAnsi" w:hAnsi="Calibri" w:cstheme="minorBidi"/>
                          <w:sz w:val="22"/>
                          <w:szCs w:val="22"/>
                          <w:lang w:val="pt-PT"/>
                        </w:rPr>
                        <w:t>KW/m</w:t>
                      </w:r>
                      <w:r w:rsidRPr="001578B2">
                        <w:rPr>
                          <w:rFonts w:asciiTheme="minorHAnsi" w:hAnsi="Calibri" w:cstheme="minorBidi"/>
                          <w:sz w:val="22"/>
                          <w:szCs w:val="22"/>
                          <w:vertAlign w:val="superscript"/>
                          <w:lang w:val="pt-PT"/>
                        </w:rPr>
                        <w:t>3</w:t>
                      </w:r>
                    </w:p>
                  </w:txbxContent>
                </v:textbox>
              </v:shape>
            </w:pict>
          </mc:Fallback>
        </mc:AlternateContent>
      </w:r>
    </w:p>
    <w:p w:rsidR="00DD0435" w:rsidRPr="00DD0435" w:rsidRDefault="00DD0435" w:rsidP="00DD0435">
      <w:pPr>
        <w:spacing w:after="200" w:line="276" w:lineRule="auto"/>
        <w:jc w:val="center"/>
        <w:rPr>
          <w:rFonts w:asciiTheme="minorHAnsi" w:eastAsiaTheme="minorHAnsi" w:hAnsiTheme="minorHAnsi" w:cstheme="minorBidi"/>
          <w:lang w:val="en-US" w:eastAsia="en-US"/>
        </w:rPr>
      </w:pPr>
      <w:r w:rsidRPr="00DD0435">
        <w:rPr>
          <w:rFonts w:asciiTheme="minorHAnsi" w:eastAsiaTheme="minorHAnsi" w:hAnsiTheme="minorHAnsi" w:cstheme="minorBidi"/>
          <w:lang w:val="en-US" w:eastAsia="en-US"/>
        </w:rPr>
        <w:t>Graph 4: Power consumption KW / m3 depending on the flow</w:t>
      </w:r>
    </w:p>
    <w:p w:rsidR="00DD0435" w:rsidRPr="00DD0435" w:rsidRDefault="00DD0435" w:rsidP="00DD0435">
      <w:pPr>
        <w:spacing w:after="200" w:line="276" w:lineRule="auto"/>
        <w:jc w:val="center"/>
        <w:rPr>
          <w:rFonts w:asciiTheme="minorHAnsi" w:eastAsiaTheme="minorHAnsi" w:hAnsiTheme="minorHAnsi" w:cstheme="minorBidi"/>
          <w:lang w:val="en-US" w:eastAsia="en-US"/>
        </w:rPr>
      </w:pPr>
    </w:p>
    <w:p w:rsidR="00DD0435" w:rsidRPr="00DD0435" w:rsidRDefault="00DD0435" w:rsidP="00DD0435">
      <w:pPr>
        <w:spacing w:after="200" w:line="276" w:lineRule="auto"/>
        <w:jc w:val="both"/>
        <w:rPr>
          <w:rFonts w:eastAsiaTheme="minorHAnsi" w:cs="Arial"/>
          <w:sz w:val="24"/>
          <w:lang w:val="en-US" w:eastAsia="en-US"/>
        </w:rPr>
      </w:pPr>
      <w:r w:rsidRPr="00DD0435">
        <w:rPr>
          <w:rFonts w:eastAsiaTheme="minorHAnsi" w:cs="Arial"/>
          <w:sz w:val="24"/>
          <w:lang w:val="en-US" w:eastAsia="en-US"/>
        </w:rPr>
        <w:t>Notes to Editor-</w:t>
      </w:r>
    </w:p>
    <w:p w:rsidR="00DD0435" w:rsidRPr="00DD0435" w:rsidRDefault="00DD0435" w:rsidP="00DD0435">
      <w:pPr>
        <w:spacing w:after="200" w:line="276" w:lineRule="auto"/>
        <w:jc w:val="both"/>
        <w:rPr>
          <w:rFonts w:eastAsiaTheme="minorHAnsi" w:cs="Arial"/>
          <w:sz w:val="24"/>
          <w:lang w:val="en-US" w:eastAsia="en-US"/>
        </w:rPr>
      </w:pPr>
      <w:r w:rsidRPr="00DD0435">
        <w:rPr>
          <w:rFonts w:eastAsiaTheme="minorHAnsi" w:cs="Arial"/>
          <w:sz w:val="24"/>
          <w:lang w:val="en-US" w:eastAsia="en-US"/>
        </w:rPr>
        <w:t>•</w:t>
      </w:r>
      <w:r w:rsidRPr="00DD0435">
        <w:rPr>
          <w:rFonts w:eastAsiaTheme="minorHAnsi" w:cs="Arial"/>
          <w:sz w:val="24"/>
          <w:lang w:val="en-US" w:eastAsia="en-US"/>
        </w:rPr>
        <w:tab/>
        <w:t>Belzona was first established in 1952 in Elland, West Yorkshire before moving to its current Head Office in Harrogate in 1992.</w:t>
      </w:r>
    </w:p>
    <w:p w:rsidR="00DD0435" w:rsidRPr="00DD0435" w:rsidRDefault="00DD0435" w:rsidP="00DD0435">
      <w:pPr>
        <w:spacing w:after="200" w:line="276" w:lineRule="auto"/>
        <w:jc w:val="both"/>
        <w:rPr>
          <w:rFonts w:eastAsiaTheme="minorHAnsi" w:cs="Arial"/>
          <w:sz w:val="24"/>
          <w:lang w:val="en-US" w:eastAsia="en-US"/>
        </w:rPr>
      </w:pPr>
      <w:r w:rsidRPr="00DD0435">
        <w:rPr>
          <w:rFonts w:eastAsiaTheme="minorHAnsi" w:cs="Arial"/>
          <w:sz w:val="24"/>
          <w:lang w:val="en-US" w:eastAsia="en-US"/>
        </w:rPr>
        <w:t>•</w:t>
      </w:r>
      <w:r w:rsidRPr="00DD0435">
        <w:rPr>
          <w:rFonts w:eastAsiaTheme="minorHAnsi" w:cs="Arial"/>
          <w:sz w:val="24"/>
          <w:lang w:val="en-US" w:eastAsia="en-US"/>
        </w:rPr>
        <w:tab/>
        <w:t>Belzona is a world leader in the design and manufacture of polymer repair composites and industrial protective coatings for the repair, protection and improvement of machinery, equipment, buildings and structures.</w:t>
      </w:r>
    </w:p>
    <w:p w:rsidR="00DD0435" w:rsidRPr="00DD0435" w:rsidRDefault="00DD0435" w:rsidP="00DD0435">
      <w:pPr>
        <w:spacing w:after="200" w:line="276" w:lineRule="auto"/>
        <w:jc w:val="both"/>
        <w:rPr>
          <w:rFonts w:eastAsiaTheme="minorHAnsi" w:cs="Arial"/>
          <w:sz w:val="24"/>
          <w:lang w:val="en-US" w:eastAsia="en-US"/>
        </w:rPr>
      </w:pPr>
      <w:r w:rsidRPr="00DD0435">
        <w:rPr>
          <w:rFonts w:eastAsiaTheme="minorHAnsi" w:cs="Arial"/>
          <w:sz w:val="24"/>
          <w:lang w:val="en-US" w:eastAsia="en-US"/>
        </w:rPr>
        <w:t>•</w:t>
      </w:r>
      <w:r w:rsidRPr="00DD0435">
        <w:rPr>
          <w:rFonts w:eastAsiaTheme="minorHAnsi" w:cs="Arial"/>
          <w:sz w:val="24"/>
          <w:lang w:val="en-US" w:eastAsia="en-US"/>
        </w:rPr>
        <w:tab/>
        <w:t xml:space="preserve">Belzona is not just a product but a complete service with a global distribution network of over 140 Distributors operating in 120 countries. </w:t>
      </w:r>
    </w:p>
    <w:p w:rsidR="00DD0435" w:rsidRPr="00DD0435" w:rsidRDefault="00DD0435" w:rsidP="00DD0435">
      <w:pPr>
        <w:spacing w:after="200" w:line="276" w:lineRule="auto"/>
        <w:jc w:val="both"/>
        <w:rPr>
          <w:rFonts w:eastAsiaTheme="minorHAnsi" w:cs="Arial"/>
          <w:sz w:val="24"/>
          <w:lang w:val="en-US" w:eastAsia="en-US"/>
        </w:rPr>
      </w:pPr>
      <w:r w:rsidRPr="00DD0435">
        <w:rPr>
          <w:rFonts w:eastAsiaTheme="minorHAnsi" w:cs="Arial"/>
          <w:sz w:val="24"/>
          <w:lang w:val="en-US" w:eastAsia="en-US"/>
        </w:rPr>
        <w:t>•</w:t>
      </w:r>
      <w:r w:rsidRPr="00DD0435">
        <w:rPr>
          <w:rFonts w:eastAsiaTheme="minorHAnsi" w:cs="Arial"/>
          <w:sz w:val="24"/>
          <w:lang w:val="en-US" w:eastAsia="en-US"/>
        </w:rPr>
        <w:tab/>
        <w:t>Belzona operates from four corporate offices in Harrogate, UK, Miami, USA, Chonburi, Thailand and Ontario, Canada.</w:t>
      </w:r>
    </w:p>
    <w:p w:rsidR="00DD0435" w:rsidRPr="00DD0435" w:rsidRDefault="00DD0435" w:rsidP="00DD0435">
      <w:pPr>
        <w:spacing w:after="200" w:line="276" w:lineRule="auto"/>
        <w:jc w:val="both"/>
        <w:rPr>
          <w:rFonts w:eastAsiaTheme="minorHAnsi" w:cs="Arial"/>
          <w:sz w:val="24"/>
          <w:lang w:val="en-US" w:eastAsia="en-US"/>
        </w:rPr>
      </w:pPr>
      <w:r w:rsidRPr="00DD0435">
        <w:rPr>
          <w:rFonts w:eastAsiaTheme="minorHAnsi" w:cs="Arial"/>
          <w:sz w:val="24"/>
          <w:lang w:val="en-US" w:eastAsia="en-US"/>
        </w:rPr>
        <w:t>•</w:t>
      </w:r>
      <w:r w:rsidRPr="00DD0435">
        <w:rPr>
          <w:rFonts w:eastAsiaTheme="minorHAnsi" w:cs="Arial"/>
          <w:sz w:val="24"/>
          <w:lang w:val="en-US" w:eastAsia="en-US"/>
        </w:rPr>
        <w:tab/>
        <w:t>At Harrogate, the full Belzona product range is manufactured to stringent quality and environmental control guidelines complying with the requirements of ISO 9001:2008 and ISO 14001:2004.</w:t>
      </w:r>
    </w:p>
    <w:p w:rsidR="008B2962" w:rsidRPr="00F72444" w:rsidRDefault="008B2962" w:rsidP="00F72444">
      <w:pPr>
        <w:rPr>
          <w:lang w:val="en-US"/>
        </w:rPr>
      </w:pPr>
    </w:p>
    <w:p w:rsidR="008B2962" w:rsidRPr="008056C0" w:rsidRDefault="008B2962" w:rsidP="008056C0">
      <w:pPr>
        <w:tabs>
          <w:tab w:val="left" w:pos="3075"/>
        </w:tabs>
      </w:pPr>
    </w:p>
    <w:sectPr w:rsidR="008B2962" w:rsidRPr="008056C0" w:rsidSect="0054386A">
      <w:headerReference w:type="default"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629" w:rsidRDefault="00051629" w:rsidP="0054386A">
      <w:r>
        <w:separator/>
      </w:r>
    </w:p>
  </w:endnote>
  <w:endnote w:type="continuationSeparator" w:id="0">
    <w:p w:rsidR="00051629" w:rsidRDefault="00051629" w:rsidP="0054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Rounded Light">
    <w:panose1 w:val="00000000000000000000"/>
    <w:charset w:val="00"/>
    <w:family w:val="modern"/>
    <w:notTrueType/>
    <w:pitch w:val="variable"/>
    <w:sig w:usb0="A00000FF" w:usb1="4000004A" w:usb2="00000000" w:usb3="00000000" w:csb0="0000000B"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35" w:rsidRPr="00F12AD3" w:rsidRDefault="00DD0435" w:rsidP="00DD0435">
    <w:pPr>
      <w:spacing w:line="360" w:lineRule="auto"/>
      <w:ind w:left="142"/>
      <w:rPr>
        <w:rFonts w:cs="Arial"/>
        <w:sz w:val="16"/>
        <w:szCs w:val="16"/>
      </w:rPr>
    </w:pPr>
    <w:r w:rsidRPr="00F12AD3">
      <w:rPr>
        <w:rFonts w:cs="Arial"/>
        <w:i/>
        <w:sz w:val="16"/>
        <w:szCs w:val="16"/>
      </w:rPr>
      <w:t>Further press information from</w:t>
    </w:r>
    <w:r w:rsidRPr="00F12AD3">
      <w:rPr>
        <w:rFonts w:cs="Arial"/>
        <w:sz w:val="16"/>
        <w:szCs w:val="16"/>
      </w:rPr>
      <w:t xml:space="preserve"> </w:t>
    </w:r>
    <w:r>
      <w:rPr>
        <w:rFonts w:cs="Arial"/>
        <w:b/>
        <w:sz w:val="16"/>
        <w:szCs w:val="16"/>
      </w:rPr>
      <w:t>Alice Jucquois</w:t>
    </w:r>
    <w:r w:rsidRPr="00F12AD3">
      <w:rPr>
        <w:rFonts w:cs="Arial"/>
        <w:sz w:val="16"/>
        <w:szCs w:val="16"/>
      </w:rPr>
      <w:t xml:space="preserve"> </w:t>
    </w:r>
    <w:r w:rsidRPr="00F12AD3">
      <w:rPr>
        <w:rFonts w:cs="Arial"/>
        <w:i/>
        <w:sz w:val="16"/>
        <w:szCs w:val="16"/>
      </w:rPr>
      <w:t>at</w:t>
    </w:r>
    <w:r>
      <w:rPr>
        <w:rFonts w:cs="Arial"/>
        <w:i/>
        <w:sz w:val="16"/>
        <w:szCs w:val="16"/>
      </w:rPr>
      <w:t>:</w:t>
    </w:r>
  </w:p>
  <w:p w:rsidR="00DD0435" w:rsidRPr="00F12AD3" w:rsidRDefault="00DD0435" w:rsidP="00DD0435">
    <w:pPr>
      <w:spacing w:line="360" w:lineRule="auto"/>
      <w:ind w:left="142"/>
      <w:rPr>
        <w:rFonts w:cs="Arial"/>
        <w:b/>
        <w:bCs/>
        <w:sz w:val="16"/>
        <w:szCs w:val="16"/>
        <w:lang w:val="de-DE"/>
      </w:rPr>
    </w:pPr>
    <w:r w:rsidRPr="00F12AD3">
      <w:rPr>
        <w:rFonts w:cs="Arial"/>
        <w:b/>
        <w:bCs/>
        <w:sz w:val="16"/>
        <w:szCs w:val="16"/>
        <w:lang w:val="de-DE"/>
      </w:rPr>
      <w:t xml:space="preserve">e: </w:t>
    </w:r>
    <w:r>
      <w:rPr>
        <w:rFonts w:cs="Arial"/>
        <w:b/>
        <w:bCs/>
        <w:sz w:val="16"/>
        <w:szCs w:val="16"/>
        <w:lang w:val="de-DE"/>
      </w:rPr>
      <w:t>ajucquois@belzona.com</w:t>
    </w:r>
  </w:p>
  <w:p w:rsidR="00DD0435" w:rsidRPr="008056C0" w:rsidRDefault="00DD0435" w:rsidP="00DD0435">
    <w:pPr>
      <w:spacing w:line="360" w:lineRule="auto"/>
      <w:ind w:left="142"/>
      <w:rPr>
        <w:rFonts w:cs="Arial"/>
        <w:b/>
        <w:bCs/>
        <w:color w:val="000000"/>
        <w:sz w:val="16"/>
        <w:szCs w:val="16"/>
      </w:rPr>
    </w:pPr>
    <w:proofErr w:type="gramStart"/>
    <w:r>
      <w:rPr>
        <w:rFonts w:ascii="Tahoma" w:hAnsi="Tahoma" w:cs="Tahoma"/>
        <w:color w:val="000000"/>
        <w:sz w:val="16"/>
        <w:szCs w:val="16"/>
      </w:rPr>
      <w:t>t</w:t>
    </w:r>
    <w:proofErr w:type="gramEnd"/>
    <w:r>
      <w:rPr>
        <w:rFonts w:ascii="Tahoma" w:hAnsi="Tahoma" w:cs="Tahoma"/>
        <w:color w:val="000000"/>
        <w:sz w:val="16"/>
        <w:szCs w:val="16"/>
      </w:rPr>
      <w:t xml:space="preserve">: </w:t>
    </w:r>
    <w:r w:rsidRPr="0075768A">
      <w:rPr>
        <w:rFonts w:ascii="Tahoma" w:hAnsi="Tahoma" w:cs="Tahoma"/>
        <w:color w:val="000000"/>
        <w:sz w:val="16"/>
        <w:szCs w:val="16"/>
      </w:rPr>
      <w:t>01423 567641</w:t>
    </w:r>
    <w:r>
      <w:rPr>
        <w:rFonts w:ascii="Tahoma" w:hAnsi="Tahoma" w:cs="Tahoma"/>
        <w:color w:val="000000"/>
        <w:sz w:val="16"/>
        <w:szCs w:val="16"/>
      </w:rPr>
      <w:t xml:space="preserve"> </w:t>
    </w:r>
  </w:p>
  <w:p w:rsidR="00881305" w:rsidRDefault="00A739A2">
    <w:pPr>
      <w:pStyle w:val="Footer"/>
    </w:pPr>
    <w:r>
      <w:rPr>
        <w:noProof/>
        <w:lang w:val="en-US" w:eastAsia="en-US"/>
      </w:rPr>
      <w:drawing>
        <wp:anchor distT="0" distB="0" distL="114300" distR="114300" simplePos="0" relativeHeight="251658240" behindDoc="1" locked="0" layoutInCell="1" allowOverlap="1" wp14:anchorId="2B6CEF9D" wp14:editId="0D313141">
          <wp:simplePos x="0" y="0"/>
          <wp:positionH relativeFrom="column">
            <wp:posOffset>-514350</wp:posOffset>
          </wp:positionH>
          <wp:positionV relativeFrom="paragraph">
            <wp:posOffset>118110</wp:posOffset>
          </wp:positionV>
          <wp:extent cx="7267575" cy="96520"/>
          <wp:effectExtent l="0" t="0" r="9525" b="0"/>
          <wp:wrapNone/>
          <wp:docPr id="3" name="Picture 8" descr="G:\Marketing\Private\Marketing- PR\UK Marketing\Anna\Design Work\Stationery\bpl-lh-2ndpagefooter-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rketing\Private\Marketing- PR\UK Marketing\Anna\Design Work\Stationery\bpl-lh-2ndpagefooter-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7575" cy="96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6C0" w:rsidRPr="00F12AD3" w:rsidRDefault="008056C0" w:rsidP="008056C0">
    <w:pPr>
      <w:spacing w:line="360" w:lineRule="auto"/>
      <w:ind w:left="142"/>
      <w:rPr>
        <w:rFonts w:cs="Arial"/>
        <w:sz w:val="16"/>
        <w:szCs w:val="16"/>
      </w:rPr>
    </w:pPr>
    <w:r w:rsidRPr="00F12AD3">
      <w:rPr>
        <w:rFonts w:cs="Arial"/>
        <w:i/>
        <w:sz w:val="16"/>
        <w:szCs w:val="16"/>
      </w:rPr>
      <w:t>Further press information from</w:t>
    </w:r>
    <w:r w:rsidRPr="00F12AD3">
      <w:rPr>
        <w:rFonts w:cs="Arial"/>
        <w:sz w:val="16"/>
        <w:szCs w:val="16"/>
      </w:rPr>
      <w:t xml:space="preserve"> </w:t>
    </w:r>
    <w:r w:rsidR="00DD0435">
      <w:rPr>
        <w:rFonts w:cs="Arial"/>
        <w:b/>
        <w:sz w:val="16"/>
        <w:szCs w:val="16"/>
      </w:rPr>
      <w:t>Alice Jucquois</w:t>
    </w:r>
    <w:r w:rsidRPr="00F12AD3">
      <w:rPr>
        <w:rFonts w:cs="Arial"/>
        <w:sz w:val="16"/>
        <w:szCs w:val="16"/>
      </w:rPr>
      <w:t xml:space="preserve"> </w:t>
    </w:r>
    <w:r w:rsidRPr="00F12AD3">
      <w:rPr>
        <w:rFonts w:cs="Arial"/>
        <w:i/>
        <w:sz w:val="16"/>
        <w:szCs w:val="16"/>
      </w:rPr>
      <w:t>at</w:t>
    </w:r>
    <w:r>
      <w:rPr>
        <w:rFonts w:cs="Arial"/>
        <w:i/>
        <w:sz w:val="16"/>
        <w:szCs w:val="16"/>
      </w:rPr>
      <w:t>:</w:t>
    </w:r>
  </w:p>
  <w:p w:rsidR="008056C0" w:rsidRPr="00F12AD3" w:rsidRDefault="008056C0" w:rsidP="008056C0">
    <w:pPr>
      <w:spacing w:line="360" w:lineRule="auto"/>
      <w:ind w:left="142"/>
      <w:rPr>
        <w:rFonts w:cs="Arial"/>
        <w:b/>
        <w:bCs/>
        <w:sz w:val="16"/>
        <w:szCs w:val="16"/>
        <w:lang w:val="de-DE"/>
      </w:rPr>
    </w:pPr>
    <w:r w:rsidRPr="00F12AD3">
      <w:rPr>
        <w:rFonts w:cs="Arial"/>
        <w:b/>
        <w:bCs/>
        <w:sz w:val="16"/>
        <w:szCs w:val="16"/>
        <w:lang w:val="de-DE"/>
      </w:rPr>
      <w:t xml:space="preserve">e: </w:t>
    </w:r>
    <w:r w:rsidR="00DD0435">
      <w:rPr>
        <w:rFonts w:cs="Arial"/>
        <w:b/>
        <w:bCs/>
        <w:sz w:val="16"/>
        <w:szCs w:val="16"/>
        <w:lang w:val="de-DE"/>
      </w:rPr>
      <w:t>ajucquois</w:t>
    </w:r>
    <w:r w:rsidR="00585B09">
      <w:rPr>
        <w:rFonts w:cs="Arial"/>
        <w:b/>
        <w:bCs/>
        <w:sz w:val="16"/>
        <w:szCs w:val="16"/>
        <w:lang w:val="de-DE"/>
      </w:rPr>
      <w:t>@belzona.com</w:t>
    </w:r>
  </w:p>
  <w:p w:rsidR="0054386A" w:rsidRPr="008056C0" w:rsidRDefault="008056C0" w:rsidP="008056C0">
    <w:pPr>
      <w:spacing w:line="360" w:lineRule="auto"/>
      <w:ind w:left="142"/>
      <w:rPr>
        <w:rFonts w:cs="Arial"/>
        <w:b/>
        <w:bCs/>
        <w:color w:val="000000"/>
        <w:sz w:val="16"/>
        <w:szCs w:val="16"/>
      </w:rPr>
    </w:pPr>
    <w:proofErr w:type="gramStart"/>
    <w:r>
      <w:rPr>
        <w:rFonts w:ascii="Tahoma" w:hAnsi="Tahoma" w:cs="Tahoma"/>
        <w:color w:val="000000"/>
        <w:sz w:val="16"/>
        <w:szCs w:val="16"/>
      </w:rPr>
      <w:t>t</w:t>
    </w:r>
    <w:proofErr w:type="gramEnd"/>
    <w:r>
      <w:rPr>
        <w:rFonts w:ascii="Tahoma" w:hAnsi="Tahoma" w:cs="Tahoma"/>
        <w:color w:val="000000"/>
        <w:sz w:val="16"/>
        <w:szCs w:val="16"/>
      </w:rPr>
      <w:t xml:space="preserve">: </w:t>
    </w:r>
    <w:r w:rsidRPr="0075768A">
      <w:rPr>
        <w:rFonts w:ascii="Tahoma" w:hAnsi="Tahoma" w:cs="Tahoma"/>
        <w:color w:val="000000"/>
        <w:sz w:val="16"/>
        <w:szCs w:val="16"/>
      </w:rPr>
      <w:t>01423 567641</w:t>
    </w:r>
    <w:r>
      <w:rPr>
        <w:rFonts w:ascii="Tahoma" w:hAnsi="Tahoma" w:cs="Tahoma"/>
        <w:color w:val="00000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629" w:rsidRDefault="00051629" w:rsidP="0054386A">
      <w:r>
        <w:separator/>
      </w:r>
    </w:p>
  </w:footnote>
  <w:footnote w:type="continuationSeparator" w:id="0">
    <w:p w:rsidR="00051629" w:rsidRDefault="00051629" w:rsidP="00543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86A" w:rsidRDefault="00A739A2">
    <w:pPr>
      <w:pStyle w:val="Header"/>
    </w:pPr>
    <w:r>
      <w:rPr>
        <w:noProof/>
        <w:lang w:val="en-US" w:eastAsia="en-US"/>
      </w:rPr>
      <w:drawing>
        <wp:anchor distT="0" distB="0" distL="114300" distR="114300" simplePos="0" relativeHeight="251657216" behindDoc="1" locked="0" layoutInCell="1" allowOverlap="1">
          <wp:simplePos x="0" y="0"/>
          <wp:positionH relativeFrom="column">
            <wp:posOffset>-523875</wp:posOffset>
          </wp:positionH>
          <wp:positionV relativeFrom="paragraph">
            <wp:posOffset>-116205</wp:posOffset>
          </wp:positionV>
          <wp:extent cx="7204710" cy="695325"/>
          <wp:effectExtent l="0" t="0" r="0" b="9525"/>
          <wp:wrapNone/>
          <wp:docPr id="4" name="Picture 5" descr="G:\Marketing\Private\Marketing- PR\UK Marketing\Anna\Design Work\Stationery\bpl-lh-2ndpageheader-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Marketing\Private\Marketing- PR\UK Marketing\Anna\Design Work\Stationery\bpl-lh-2ndpageheader-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471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386A" w:rsidRDefault="0054386A">
    <w:pPr>
      <w:pStyle w:val="Header"/>
    </w:pPr>
  </w:p>
  <w:p w:rsidR="0054386A" w:rsidRDefault="00C61459" w:rsidP="00C61459">
    <w:pPr>
      <w:pStyle w:val="Header"/>
      <w:tabs>
        <w:tab w:val="clear" w:pos="4513"/>
        <w:tab w:val="clear" w:pos="9026"/>
        <w:tab w:val="left" w:pos="1275"/>
      </w:tabs>
    </w:pPr>
    <w:r>
      <w:tab/>
    </w:r>
  </w:p>
  <w:p w:rsidR="0054386A" w:rsidRDefault="0054386A">
    <w:pPr>
      <w:pStyle w:val="Header"/>
    </w:pPr>
  </w:p>
  <w:p w:rsidR="0054386A" w:rsidRDefault="00881305">
    <w:pPr>
      <w:pStyle w:val="Header"/>
    </w:pPr>
    <w:r>
      <w:softHyphen/>
    </w:r>
    <w:r>
      <w:softHyphen/>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86A" w:rsidRDefault="00A739A2">
    <w:pPr>
      <w:pStyle w:val="Header"/>
    </w:pPr>
    <w:r>
      <w:rPr>
        <w:noProof/>
        <w:lang w:val="en-US" w:eastAsia="en-US"/>
      </w:rPr>
      <w:drawing>
        <wp:anchor distT="0" distB="0" distL="114300" distR="114300" simplePos="0" relativeHeight="251659264" behindDoc="1" locked="0" layoutInCell="1" allowOverlap="1">
          <wp:simplePos x="0" y="0"/>
          <wp:positionH relativeFrom="column">
            <wp:posOffset>-542925</wp:posOffset>
          </wp:positionH>
          <wp:positionV relativeFrom="paragraph">
            <wp:posOffset>-154305</wp:posOffset>
          </wp:positionV>
          <wp:extent cx="7219950" cy="1333500"/>
          <wp:effectExtent l="0" t="0" r="0" b="0"/>
          <wp:wrapNone/>
          <wp:docPr id="2" name="Picture 4" descr="G:\Marketing\Private\Marketing- PR\UK Marketing\Anna\Design Work\Stationery\bpl-lh-header-v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Marketing\Private\Marketing- PR\UK Marketing\Anna\Design Work\Stationery\bpl-lh-header-v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95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386A" w:rsidRDefault="0054386A">
    <w:pPr>
      <w:pStyle w:val="Header"/>
    </w:pPr>
  </w:p>
  <w:p w:rsidR="0054386A" w:rsidRDefault="0054386A">
    <w:pPr>
      <w:pStyle w:val="Header"/>
    </w:pPr>
  </w:p>
  <w:p w:rsidR="0054386A" w:rsidRDefault="0054386A">
    <w:pPr>
      <w:pStyle w:val="Header"/>
    </w:pPr>
  </w:p>
  <w:p w:rsidR="0054386A" w:rsidRDefault="0054386A">
    <w:pPr>
      <w:pStyle w:val="Header"/>
    </w:pPr>
  </w:p>
  <w:p w:rsidR="0054386A" w:rsidRDefault="0054386A">
    <w:pPr>
      <w:pStyle w:val="Header"/>
    </w:pPr>
  </w:p>
  <w:p w:rsidR="0054386A" w:rsidRDefault="0054386A">
    <w:pPr>
      <w:pStyle w:val="Header"/>
    </w:pPr>
  </w:p>
  <w:p w:rsidR="0054386A" w:rsidRDefault="00543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36145"/>
    <w:multiLevelType w:val="hybridMultilevel"/>
    <w:tmpl w:val="6D3AC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1442CE"/>
    <w:multiLevelType w:val="hybridMultilevel"/>
    <w:tmpl w:val="1F5C8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6C0169"/>
    <w:multiLevelType w:val="hybridMultilevel"/>
    <w:tmpl w:val="0A7C9D66"/>
    <w:lvl w:ilvl="0" w:tplc="CD34B9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ED2F22"/>
    <w:multiLevelType w:val="hybridMultilevel"/>
    <w:tmpl w:val="DE70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181DF6"/>
    <w:multiLevelType w:val="hybridMultilevel"/>
    <w:tmpl w:val="2E54D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F3397F"/>
    <w:multiLevelType w:val="hybridMultilevel"/>
    <w:tmpl w:val="6D3AC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B9A7EB3"/>
    <w:multiLevelType w:val="hybridMultilevel"/>
    <w:tmpl w:val="E5E03D64"/>
    <w:lvl w:ilvl="0" w:tplc="CD34B9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A848A7"/>
    <w:multiLevelType w:val="hybridMultilevel"/>
    <w:tmpl w:val="DAEAB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6C0"/>
    <w:rsid w:val="00051629"/>
    <w:rsid w:val="0005700F"/>
    <w:rsid w:val="00123A42"/>
    <w:rsid w:val="00152AA3"/>
    <w:rsid w:val="00370656"/>
    <w:rsid w:val="00371610"/>
    <w:rsid w:val="003F3837"/>
    <w:rsid w:val="004B1EB7"/>
    <w:rsid w:val="004B32E2"/>
    <w:rsid w:val="005201A7"/>
    <w:rsid w:val="0054386A"/>
    <w:rsid w:val="00556A60"/>
    <w:rsid w:val="00561B99"/>
    <w:rsid w:val="00585B09"/>
    <w:rsid w:val="005D3530"/>
    <w:rsid w:val="00724560"/>
    <w:rsid w:val="008056C0"/>
    <w:rsid w:val="00881305"/>
    <w:rsid w:val="008A76C4"/>
    <w:rsid w:val="008B2962"/>
    <w:rsid w:val="00931B28"/>
    <w:rsid w:val="009E1FFF"/>
    <w:rsid w:val="00A42DB2"/>
    <w:rsid w:val="00A739A2"/>
    <w:rsid w:val="00A9591F"/>
    <w:rsid w:val="00AC51EB"/>
    <w:rsid w:val="00AD62C1"/>
    <w:rsid w:val="00AF5155"/>
    <w:rsid w:val="00B152E6"/>
    <w:rsid w:val="00B313AB"/>
    <w:rsid w:val="00B344BF"/>
    <w:rsid w:val="00C61459"/>
    <w:rsid w:val="00D51448"/>
    <w:rsid w:val="00DD0435"/>
    <w:rsid w:val="00E90F77"/>
    <w:rsid w:val="00F72444"/>
    <w:rsid w:val="00FB2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43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86A"/>
    <w:pPr>
      <w:tabs>
        <w:tab w:val="center" w:pos="4513"/>
        <w:tab w:val="right" w:pos="9026"/>
      </w:tabs>
    </w:pPr>
  </w:style>
  <w:style w:type="character" w:customStyle="1" w:styleId="HeaderChar">
    <w:name w:val="Header Char"/>
    <w:basedOn w:val="DefaultParagraphFont"/>
    <w:link w:val="Header"/>
    <w:uiPriority w:val="99"/>
    <w:rsid w:val="0054386A"/>
  </w:style>
  <w:style w:type="paragraph" w:styleId="Footer">
    <w:name w:val="footer"/>
    <w:basedOn w:val="Normal"/>
    <w:link w:val="FooterChar"/>
    <w:uiPriority w:val="99"/>
    <w:unhideWhenUsed/>
    <w:rsid w:val="0054386A"/>
    <w:pPr>
      <w:tabs>
        <w:tab w:val="center" w:pos="4513"/>
        <w:tab w:val="right" w:pos="9026"/>
      </w:tabs>
    </w:pPr>
  </w:style>
  <w:style w:type="character" w:customStyle="1" w:styleId="FooterChar">
    <w:name w:val="Footer Char"/>
    <w:basedOn w:val="DefaultParagraphFont"/>
    <w:link w:val="Footer"/>
    <w:uiPriority w:val="99"/>
    <w:rsid w:val="0054386A"/>
  </w:style>
  <w:style w:type="paragraph" w:styleId="BalloonText">
    <w:name w:val="Balloon Text"/>
    <w:basedOn w:val="Normal"/>
    <w:link w:val="BalloonTextChar"/>
    <w:uiPriority w:val="99"/>
    <w:semiHidden/>
    <w:unhideWhenUsed/>
    <w:rsid w:val="0054386A"/>
    <w:rPr>
      <w:rFonts w:ascii="Tahoma" w:hAnsi="Tahoma" w:cs="Tahoma"/>
      <w:sz w:val="16"/>
      <w:szCs w:val="16"/>
    </w:rPr>
  </w:style>
  <w:style w:type="character" w:customStyle="1" w:styleId="BalloonTextChar">
    <w:name w:val="Balloon Text Char"/>
    <w:link w:val="BalloonText"/>
    <w:uiPriority w:val="99"/>
    <w:semiHidden/>
    <w:rsid w:val="0054386A"/>
    <w:rPr>
      <w:rFonts w:ascii="Tahoma" w:hAnsi="Tahoma" w:cs="Tahoma"/>
      <w:sz w:val="16"/>
      <w:szCs w:val="16"/>
    </w:rPr>
  </w:style>
  <w:style w:type="paragraph" w:customStyle="1" w:styleId="Belzona">
    <w:name w:val="Belzona"/>
    <w:basedOn w:val="Normal"/>
    <w:rsid w:val="0054386A"/>
    <w:rPr>
      <w:rFonts w:eastAsia="Times New Roman"/>
      <w:sz w:val="20"/>
      <w:szCs w:val="24"/>
    </w:rPr>
  </w:style>
  <w:style w:type="paragraph" w:customStyle="1" w:styleId="BelzonaHeadingArial">
    <w:name w:val="Belzona Heading Arial"/>
    <w:basedOn w:val="Belzona"/>
    <w:next w:val="Normal"/>
    <w:rsid w:val="0054386A"/>
    <w:pPr>
      <w:jc w:val="center"/>
    </w:pPr>
    <w:rPr>
      <w:b/>
      <w:sz w:val="38"/>
    </w:rPr>
  </w:style>
  <w:style w:type="paragraph" w:customStyle="1" w:styleId="Belzonapt12">
    <w:name w:val="Belzona pt12"/>
    <w:basedOn w:val="Belzona"/>
    <w:next w:val="Belzona"/>
    <w:rsid w:val="0054386A"/>
    <w:rPr>
      <w:sz w:val="24"/>
    </w:rPr>
  </w:style>
  <w:style w:type="character" w:styleId="Hyperlink">
    <w:name w:val="Hyperlink"/>
    <w:basedOn w:val="DefaultParagraphFont"/>
    <w:uiPriority w:val="99"/>
    <w:unhideWhenUsed/>
    <w:rsid w:val="008056C0"/>
    <w:rPr>
      <w:color w:val="0000FF" w:themeColor="hyperlink"/>
      <w:u w:val="single"/>
    </w:rPr>
  </w:style>
  <w:style w:type="character" w:customStyle="1" w:styleId="A2">
    <w:name w:val="A2"/>
    <w:uiPriority w:val="99"/>
    <w:rsid w:val="00585B09"/>
    <w:rPr>
      <w:rFonts w:cs="Gotham Rounded Light"/>
      <w:i/>
      <w:iCs/>
      <w:color w:val="000000"/>
      <w:sz w:val="20"/>
      <w:szCs w:val="20"/>
    </w:rPr>
  </w:style>
  <w:style w:type="paragraph" w:styleId="NormalWeb">
    <w:name w:val="Normal (Web)"/>
    <w:basedOn w:val="Normal"/>
    <w:uiPriority w:val="99"/>
    <w:semiHidden/>
    <w:unhideWhenUsed/>
    <w:rsid w:val="00DD0435"/>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43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86A"/>
    <w:pPr>
      <w:tabs>
        <w:tab w:val="center" w:pos="4513"/>
        <w:tab w:val="right" w:pos="9026"/>
      </w:tabs>
    </w:pPr>
  </w:style>
  <w:style w:type="character" w:customStyle="1" w:styleId="HeaderChar">
    <w:name w:val="Header Char"/>
    <w:basedOn w:val="DefaultParagraphFont"/>
    <w:link w:val="Header"/>
    <w:uiPriority w:val="99"/>
    <w:rsid w:val="0054386A"/>
  </w:style>
  <w:style w:type="paragraph" w:styleId="Footer">
    <w:name w:val="footer"/>
    <w:basedOn w:val="Normal"/>
    <w:link w:val="FooterChar"/>
    <w:uiPriority w:val="99"/>
    <w:unhideWhenUsed/>
    <w:rsid w:val="0054386A"/>
    <w:pPr>
      <w:tabs>
        <w:tab w:val="center" w:pos="4513"/>
        <w:tab w:val="right" w:pos="9026"/>
      </w:tabs>
    </w:pPr>
  </w:style>
  <w:style w:type="character" w:customStyle="1" w:styleId="FooterChar">
    <w:name w:val="Footer Char"/>
    <w:basedOn w:val="DefaultParagraphFont"/>
    <w:link w:val="Footer"/>
    <w:uiPriority w:val="99"/>
    <w:rsid w:val="0054386A"/>
  </w:style>
  <w:style w:type="paragraph" w:styleId="BalloonText">
    <w:name w:val="Balloon Text"/>
    <w:basedOn w:val="Normal"/>
    <w:link w:val="BalloonTextChar"/>
    <w:uiPriority w:val="99"/>
    <w:semiHidden/>
    <w:unhideWhenUsed/>
    <w:rsid w:val="0054386A"/>
    <w:rPr>
      <w:rFonts w:ascii="Tahoma" w:hAnsi="Tahoma" w:cs="Tahoma"/>
      <w:sz w:val="16"/>
      <w:szCs w:val="16"/>
    </w:rPr>
  </w:style>
  <w:style w:type="character" w:customStyle="1" w:styleId="BalloonTextChar">
    <w:name w:val="Balloon Text Char"/>
    <w:link w:val="BalloonText"/>
    <w:uiPriority w:val="99"/>
    <w:semiHidden/>
    <w:rsid w:val="0054386A"/>
    <w:rPr>
      <w:rFonts w:ascii="Tahoma" w:hAnsi="Tahoma" w:cs="Tahoma"/>
      <w:sz w:val="16"/>
      <w:szCs w:val="16"/>
    </w:rPr>
  </w:style>
  <w:style w:type="paragraph" w:customStyle="1" w:styleId="Belzona">
    <w:name w:val="Belzona"/>
    <w:basedOn w:val="Normal"/>
    <w:rsid w:val="0054386A"/>
    <w:rPr>
      <w:rFonts w:eastAsia="Times New Roman"/>
      <w:sz w:val="20"/>
      <w:szCs w:val="24"/>
    </w:rPr>
  </w:style>
  <w:style w:type="paragraph" w:customStyle="1" w:styleId="BelzonaHeadingArial">
    <w:name w:val="Belzona Heading Arial"/>
    <w:basedOn w:val="Belzona"/>
    <w:next w:val="Normal"/>
    <w:rsid w:val="0054386A"/>
    <w:pPr>
      <w:jc w:val="center"/>
    </w:pPr>
    <w:rPr>
      <w:b/>
      <w:sz w:val="38"/>
    </w:rPr>
  </w:style>
  <w:style w:type="paragraph" w:customStyle="1" w:styleId="Belzonapt12">
    <w:name w:val="Belzona pt12"/>
    <w:basedOn w:val="Belzona"/>
    <w:next w:val="Belzona"/>
    <w:rsid w:val="0054386A"/>
    <w:rPr>
      <w:sz w:val="24"/>
    </w:rPr>
  </w:style>
  <w:style w:type="character" w:styleId="Hyperlink">
    <w:name w:val="Hyperlink"/>
    <w:basedOn w:val="DefaultParagraphFont"/>
    <w:uiPriority w:val="99"/>
    <w:unhideWhenUsed/>
    <w:rsid w:val="008056C0"/>
    <w:rPr>
      <w:color w:val="0000FF" w:themeColor="hyperlink"/>
      <w:u w:val="single"/>
    </w:rPr>
  </w:style>
  <w:style w:type="character" w:customStyle="1" w:styleId="A2">
    <w:name w:val="A2"/>
    <w:uiPriority w:val="99"/>
    <w:rsid w:val="00585B09"/>
    <w:rPr>
      <w:rFonts w:cs="Gotham Rounded Light"/>
      <w:i/>
      <w:iCs/>
      <w:color w:val="000000"/>
      <w:sz w:val="20"/>
      <w:szCs w:val="20"/>
    </w:rPr>
  </w:style>
  <w:style w:type="paragraph" w:styleId="NormalWeb">
    <w:name w:val="Normal (Web)"/>
    <w:basedOn w:val="Normal"/>
    <w:uiPriority w:val="99"/>
    <w:semiHidden/>
    <w:unhideWhenUsed/>
    <w:rsid w:val="00DD043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08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dirty="0" smtClean="0"/>
              <a:t>Specific consumption </a:t>
            </a:r>
            <a:endParaRPr lang="en-US" dirty="0"/>
          </a:p>
        </c:rich>
      </c:tx>
      <c:overlay val="0"/>
    </c:title>
    <c:autoTitleDeleted val="0"/>
    <c:plotArea>
      <c:layout/>
      <c:scatterChart>
        <c:scatterStyle val="smoothMarker"/>
        <c:varyColors val="0"/>
        <c:ser>
          <c:idx val="0"/>
          <c:order val="0"/>
          <c:tx>
            <c:strRef>
              <c:f>'Consumos Energia e custos'!$H$2</c:f>
              <c:strCache>
                <c:ptCount val="1"/>
                <c:pt idx="0">
                  <c:v>KW/m3
 (2012)</c:v>
                </c:pt>
              </c:strCache>
            </c:strRef>
          </c:tx>
          <c:xVal>
            <c:strRef>
              <c:f>'Consumos Energia e custos'!$C$3:$C$14</c:f>
              <c:strCache>
                <c:ptCount val="12"/>
                <c:pt idx="0">
                  <c:v>Janeiro</c:v>
                </c:pt>
                <c:pt idx="1">
                  <c:v>Fevereiro</c:v>
                </c:pt>
                <c:pt idx="2">
                  <c:v>Março</c:v>
                </c:pt>
                <c:pt idx="3">
                  <c:v>Abril</c:v>
                </c:pt>
                <c:pt idx="4">
                  <c:v>Maio</c:v>
                </c:pt>
                <c:pt idx="5">
                  <c:v>Junho</c:v>
                </c:pt>
                <c:pt idx="6">
                  <c:v>Julho</c:v>
                </c:pt>
                <c:pt idx="7">
                  <c:v>Agosto</c:v>
                </c:pt>
                <c:pt idx="8">
                  <c:v>Setembro</c:v>
                </c:pt>
                <c:pt idx="9">
                  <c:v>Outubro</c:v>
                </c:pt>
                <c:pt idx="10">
                  <c:v>Novembro</c:v>
                </c:pt>
                <c:pt idx="11">
                  <c:v>Dezembro</c:v>
                </c:pt>
              </c:strCache>
            </c:strRef>
          </c:xVal>
          <c:yVal>
            <c:numRef>
              <c:f>'Consumos Energia e custos'!$H$3:$H$14</c:f>
              <c:numCache>
                <c:formatCode>0.000</c:formatCode>
                <c:ptCount val="12"/>
                <c:pt idx="0">
                  <c:v>1.316342426547839</c:v>
                </c:pt>
                <c:pt idx="1">
                  <c:v>1.3531779844157128</c:v>
                </c:pt>
                <c:pt idx="2">
                  <c:v>1.3710457473235287</c:v>
                </c:pt>
                <c:pt idx="3">
                  <c:v>1.3272414890232263</c:v>
                </c:pt>
                <c:pt idx="4">
                  <c:v>1.3566492322557606</c:v>
                </c:pt>
                <c:pt idx="5">
                  <c:v>1.3948695161758926</c:v>
                </c:pt>
                <c:pt idx="6">
                  <c:v>1.4337313476250035</c:v>
                </c:pt>
                <c:pt idx="7">
                  <c:v>1.3974691443627791</c:v>
                </c:pt>
                <c:pt idx="8">
                  <c:v>1.4337663011518904</c:v>
                </c:pt>
                <c:pt idx="9">
                  <c:v>1.364374583994675</c:v>
                </c:pt>
                <c:pt idx="10">
                  <c:v>1.3436886533176287</c:v>
                </c:pt>
                <c:pt idx="11">
                  <c:v>1.3738994227101045</c:v>
                </c:pt>
              </c:numCache>
            </c:numRef>
          </c:yVal>
          <c:smooth val="1"/>
        </c:ser>
        <c:ser>
          <c:idx val="1"/>
          <c:order val="1"/>
          <c:tx>
            <c:strRef>
              <c:f>'Consumos Energia e custos'!$H$20</c:f>
              <c:strCache>
                <c:ptCount val="1"/>
                <c:pt idx="0">
                  <c:v>KW/m3 
(2013)</c:v>
                </c:pt>
              </c:strCache>
            </c:strRef>
          </c:tx>
          <c:xVal>
            <c:strRef>
              <c:f>'Consumos Energia e custos'!$C$21:$C$32</c:f>
              <c:strCache>
                <c:ptCount val="12"/>
                <c:pt idx="0">
                  <c:v>Janeiro</c:v>
                </c:pt>
                <c:pt idx="1">
                  <c:v>Fevereiro</c:v>
                </c:pt>
                <c:pt idx="2">
                  <c:v>Março</c:v>
                </c:pt>
                <c:pt idx="3">
                  <c:v>Abril</c:v>
                </c:pt>
                <c:pt idx="4">
                  <c:v>Maio</c:v>
                </c:pt>
                <c:pt idx="5">
                  <c:v>Junho</c:v>
                </c:pt>
                <c:pt idx="6">
                  <c:v>Julho</c:v>
                </c:pt>
                <c:pt idx="7">
                  <c:v>Agosto</c:v>
                </c:pt>
                <c:pt idx="8">
                  <c:v>Setembro</c:v>
                </c:pt>
                <c:pt idx="9">
                  <c:v>Outubro</c:v>
                </c:pt>
                <c:pt idx="10">
                  <c:v>Novembro</c:v>
                </c:pt>
                <c:pt idx="11">
                  <c:v>Dezembro</c:v>
                </c:pt>
              </c:strCache>
            </c:strRef>
          </c:xVal>
          <c:yVal>
            <c:numRef>
              <c:f>'Consumos Energia e custos'!$H$21:$H$32</c:f>
              <c:numCache>
                <c:formatCode>0.000</c:formatCode>
                <c:ptCount val="12"/>
                <c:pt idx="0">
                  <c:v>1.3948242285029462</c:v>
                </c:pt>
                <c:pt idx="1">
                  <c:v>1.3811737907007906</c:v>
                </c:pt>
                <c:pt idx="2">
                  <c:v>1.2577254862567335</c:v>
                </c:pt>
                <c:pt idx="3">
                  <c:v>1.1491694651671212</c:v>
                </c:pt>
                <c:pt idx="4">
                  <c:v>1.0747586330773722</c:v>
                </c:pt>
                <c:pt idx="5">
                  <c:v>1.0781597533851017</c:v>
                </c:pt>
                <c:pt idx="6">
                  <c:v>1.0979919164318448</c:v>
                </c:pt>
                <c:pt idx="7">
                  <c:v>1.1300587285682475</c:v>
                </c:pt>
              </c:numCache>
            </c:numRef>
          </c:yVal>
          <c:smooth val="1"/>
        </c:ser>
        <c:dLbls>
          <c:showLegendKey val="0"/>
          <c:showVal val="0"/>
          <c:showCatName val="0"/>
          <c:showSerName val="0"/>
          <c:showPercent val="0"/>
          <c:showBubbleSize val="0"/>
        </c:dLbls>
        <c:axId val="95410432"/>
        <c:axId val="95412608"/>
      </c:scatterChart>
      <c:valAx>
        <c:axId val="95410432"/>
        <c:scaling>
          <c:orientation val="minMax"/>
          <c:max val="12"/>
          <c:min val="0"/>
        </c:scaling>
        <c:delete val="0"/>
        <c:axPos val="b"/>
        <c:title>
          <c:tx>
            <c:rich>
              <a:bodyPr/>
              <a:lstStyle/>
              <a:p>
                <a:pPr>
                  <a:defRPr/>
                </a:pPr>
                <a:r>
                  <a:rPr lang="en-US" dirty="0" smtClean="0"/>
                  <a:t>Months</a:t>
                </a:r>
                <a:endParaRPr lang="en-US" dirty="0"/>
              </a:p>
            </c:rich>
          </c:tx>
          <c:overlay val="0"/>
        </c:title>
        <c:numFmt formatCode="General" sourceLinked="0"/>
        <c:majorTickMark val="out"/>
        <c:minorTickMark val="none"/>
        <c:tickLblPos val="nextTo"/>
        <c:crossAx val="95412608"/>
        <c:crosses val="autoZero"/>
        <c:crossBetween val="midCat"/>
        <c:majorUnit val="1"/>
      </c:valAx>
      <c:valAx>
        <c:axId val="95412608"/>
        <c:scaling>
          <c:orientation val="minMax"/>
          <c:min val="0.8"/>
        </c:scaling>
        <c:delete val="0"/>
        <c:axPos val="l"/>
        <c:majorGridlines/>
        <c:title>
          <c:tx>
            <c:rich>
              <a:bodyPr rot="-5400000" vert="horz"/>
              <a:lstStyle/>
              <a:p>
                <a:pPr>
                  <a:defRPr/>
                </a:pPr>
                <a:r>
                  <a:rPr lang="en-US"/>
                  <a:t>KW/m3</a:t>
                </a:r>
              </a:p>
            </c:rich>
          </c:tx>
          <c:overlay val="0"/>
        </c:title>
        <c:numFmt formatCode="0.000" sourceLinked="1"/>
        <c:majorTickMark val="out"/>
        <c:minorTickMark val="none"/>
        <c:tickLblPos val="nextTo"/>
        <c:crossAx val="95410432"/>
        <c:crosses val="autoZero"/>
        <c:crossBetween val="midCat"/>
      </c:valAx>
    </c:plotArea>
    <c:legend>
      <c:legendPos val="r"/>
      <c:layout>
        <c:manualLayout>
          <c:xMode val="edge"/>
          <c:yMode val="edge"/>
          <c:x val="0.85240925705262982"/>
          <c:y val="0.47724130946654175"/>
          <c:w val="0.12446566274204909"/>
          <c:h val="0.24245941510667476"/>
        </c:manualLayout>
      </c:layout>
      <c:overlay val="0"/>
    </c:legend>
    <c:plotVisOnly val="1"/>
    <c:dispBlanksAs val="gap"/>
    <c:showDLblsOverMax val="0"/>
  </c:chart>
  <c:spPr>
    <a:gradFill>
      <a:gsLst>
        <a:gs pos="0">
          <a:schemeClr val="accent1">
            <a:tint val="66000"/>
            <a:satMod val="160000"/>
            <a:lumMod val="46000"/>
            <a:lumOff val="54000"/>
          </a:schemeClr>
        </a:gs>
        <a:gs pos="12000">
          <a:schemeClr val="accent1">
            <a:tint val="44500"/>
            <a:satMod val="160000"/>
            <a:lumMod val="23000"/>
            <a:lumOff val="77000"/>
          </a:schemeClr>
        </a:gs>
        <a:gs pos="100000">
          <a:schemeClr val="accent1">
            <a:tint val="23500"/>
            <a:satMod val="160000"/>
          </a:schemeClr>
        </a:gs>
      </a:gsLst>
      <a:lin ang="5400000" scaled="0"/>
    </a:gradFill>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1"/>
    </mc:Choice>
    <mc:Fallback>
      <c:style val="41"/>
    </mc:Fallback>
  </mc:AlternateContent>
  <c:clrMapOvr bg1="lt1" tx1="dk1" bg2="lt2" tx2="dk2" accent1="accent1" accent2="accent2" accent3="accent3" accent4="accent4" accent5="accent5" accent6="accent6" hlink="hlink" folHlink="folHlink"/>
  <c:chart>
    <c:title>
      <c:tx>
        <c:rich>
          <a:bodyPr/>
          <a:lstStyle/>
          <a:p>
            <a:pPr>
              <a:defRPr/>
            </a:pPr>
            <a:r>
              <a:rPr lang="en-US"/>
              <a:t>Specific consumption  (KW/m3)</a:t>
            </a:r>
          </a:p>
        </c:rich>
      </c:tx>
      <c:overlay val="0"/>
    </c:title>
    <c:autoTitleDeleted val="0"/>
    <c:plotArea>
      <c:layout>
        <c:manualLayout>
          <c:layoutTarget val="inner"/>
          <c:xMode val="edge"/>
          <c:yMode val="edge"/>
          <c:x val="0.14504827083530447"/>
          <c:y val="0.13551548810021935"/>
          <c:w val="0.82634469756700968"/>
          <c:h val="0.65497838132552266"/>
        </c:manualLayout>
      </c:layout>
      <c:scatterChart>
        <c:scatterStyle val="lineMarker"/>
        <c:varyColors val="0"/>
        <c:ser>
          <c:idx val="0"/>
          <c:order val="0"/>
          <c:tx>
            <c:strRef>
              <c:f>Folha1!$P$6</c:f>
              <c:strCache>
                <c:ptCount val="1"/>
                <c:pt idx="0">
                  <c:v>Consumo (KW/M3)</c:v>
                </c:pt>
              </c:strCache>
            </c:strRef>
          </c:tx>
          <c:spPr>
            <a:ln w="47625">
              <a:noFill/>
            </a:ln>
          </c:spPr>
          <c:marker>
            <c:symbol val="diamond"/>
            <c:size val="13"/>
          </c:marker>
          <c:dPt>
            <c:idx val="0"/>
            <c:marker>
              <c:spPr>
                <a:solidFill>
                  <a:srgbClr val="FF0000"/>
                </a:solidFill>
              </c:spPr>
            </c:marker>
            <c:bubble3D val="0"/>
          </c:dPt>
          <c:dPt>
            <c:idx val="1"/>
            <c:marker>
              <c:spPr>
                <a:solidFill>
                  <a:srgbClr val="FFC000"/>
                </a:solidFill>
              </c:spPr>
            </c:marker>
            <c:bubble3D val="0"/>
          </c:dPt>
          <c:dPt>
            <c:idx val="2"/>
            <c:marker>
              <c:spPr>
                <a:solidFill>
                  <a:srgbClr val="FFFF00"/>
                </a:solidFill>
              </c:spPr>
            </c:marker>
            <c:bubble3D val="0"/>
          </c:dPt>
          <c:dPt>
            <c:idx val="3"/>
            <c:marker>
              <c:spPr>
                <a:solidFill>
                  <a:srgbClr val="FFFF00"/>
                </a:solidFill>
              </c:spPr>
            </c:marker>
            <c:bubble3D val="0"/>
          </c:dPt>
          <c:dPt>
            <c:idx val="4"/>
            <c:marker>
              <c:spPr>
                <a:solidFill>
                  <a:srgbClr val="00B0F0"/>
                </a:solidFill>
              </c:spPr>
            </c:marker>
            <c:bubble3D val="0"/>
          </c:dPt>
          <c:dPt>
            <c:idx val="5"/>
            <c:marker>
              <c:spPr>
                <a:solidFill>
                  <a:srgbClr val="00B0F0"/>
                </a:solidFill>
              </c:spPr>
            </c:marker>
            <c:bubble3D val="0"/>
          </c:dPt>
          <c:dPt>
            <c:idx val="6"/>
            <c:marker>
              <c:spPr>
                <a:solidFill>
                  <a:srgbClr val="00B050"/>
                </a:solidFill>
              </c:spPr>
            </c:marker>
            <c:bubble3D val="0"/>
          </c:dPt>
          <c:dPt>
            <c:idx val="7"/>
            <c:marker>
              <c:spPr>
                <a:solidFill>
                  <a:srgbClr val="00B050"/>
                </a:solidFill>
              </c:spPr>
            </c:marker>
            <c:bubble3D val="0"/>
          </c:dPt>
          <c:dPt>
            <c:idx val="8"/>
            <c:marker>
              <c:spPr>
                <a:solidFill>
                  <a:srgbClr val="00B050"/>
                </a:solidFill>
              </c:spPr>
            </c:marker>
            <c:bubble3D val="0"/>
          </c:dPt>
          <c:dPt>
            <c:idx val="9"/>
            <c:marker>
              <c:spPr>
                <a:solidFill>
                  <a:srgbClr val="00B0F0"/>
                </a:solidFill>
              </c:spPr>
            </c:marker>
            <c:bubble3D val="0"/>
          </c:dPt>
          <c:dPt>
            <c:idx val="10"/>
            <c:marker>
              <c:spPr>
                <a:solidFill>
                  <a:srgbClr val="00B050"/>
                </a:solidFill>
              </c:spPr>
            </c:marker>
            <c:bubble3D val="0"/>
          </c:dPt>
          <c:trendline>
            <c:spPr>
              <a:ln w="28575">
                <a:gradFill>
                  <a:gsLst>
                    <a:gs pos="0">
                      <a:srgbClr val="FF0000"/>
                    </a:gs>
                    <a:gs pos="87000">
                      <a:schemeClr val="accent1">
                        <a:tint val="44500"/>
                        <a:satMod val="160000"/>
                      </a:schemeClr>
                    </a:gs>
                    <a:gs pos="100000">
                      <a:srgbClr val="00B050"/>
                    </a:gs>
                  </a:gsLst>
                  <a:lin ang="5400000" scaled="0"/>
                </a:gradFill>
              </a:ln>
            </c:spPr>
            <c:trendlineType val="poly"/>
            <c:order val="2"/>
            <c:dispRSqr val="0"/>
            <c:dispEq val="0"/>
          </c:trendline>
          <c:xVal>
            <c:numRef>
              <c:f>Folha1!$O$7:$O$17</c:f>
              <c:numCache>
                <c:formatCode>General</c:formatCode>
                <c:ptCount val="11"/>
                <c:pt idx="0">
                  <c:v>165.6</c:v>
                </c:pt>
                <c:pt idx="1">
                  <c:v>174.6</c:v>
                </c:pt>
                <c:pt idx="2">
                  <c:v>183.6</c:v>
                </c:pt>
                <c:pt idx="3">
                  <c:v>190.8</c:v>
                </c:pt>
                <c:pt idx="4">
                  <c:v>198</c:v>
                </c:pt>
                <c:pt idx="5">
                  <c:v>201.6</c:v>
                </c:pt>
                <c:pt idx="6">
                  <c:v>208.8</c:v>
                </c:pt>
                <c:pt idx="7">
                  <c:v>214.20000000000002</c:v>
                </c:pt>
                <c:pt idx="8">
                  <c:v>219.6</c:v>
                </c:pt>
                <c:pt idx="9">
                  <c:v>223.20000000000002</c:v>
                </c:pt>
                <c:pt idx="10">
                  <c:v>223.20000000000002</c:v>
                </c:pt>
              </c:numCache>
            </c:numRef>
          </c:xVal>
          <c:yVal>
            <c:numRef>
              <c:f>Folha1!$P$7:$P$17</c:f>
              <c:numCache>
                <c:formatCode>General</c:formatCode>
                <c:ptCount val="11"/>
                <c:pt idx="0">
                  <c:v>1.0929951690821256</c:v>
                </c:pt>
                <c:pt idx="1">
                  <c:v>1.063573883161512</c:v>
                </c:pt>
                <c:pt idx="2">
                  <c:v>1.0490196078431373</c:v>
                </c:pt>
                <c:pt idx="3">
                  <c:v>1.0471698113207548</c:v>
                </c:pt>
                <c:pt idx="4">
                  <c:v>1.0303030303030303</c:v>
                </c:pt>
                <c:pt idx="5">
                  <c:v>1.0367063492063493</c:v>
                </c:pt>
                <c:pt idx="6">
                  <c:v>1.0272988505747125</c:v>
                </c:pt>
                <c:pt idx="7">
                  <c:v>1.0270774976657329</c:v>
                </c:pt>
                <c:pt idx="8">
                  <c:v>1.0255009107468123</c:v>
                </c:pt>
                <c:pt idx="9">
                  <c:v>1.0282258064516128</c:v>
                </c:pt>
                <c:pt idx="10">
                  <c:v>1.0286738351254479</c:v>
                </c:pt>
              </c:numCache>
            </c:numRef>
          </c:yVal>
          <c:smooth val="0"/>
        </c:ser>
        <c:dLbls>
          <c:showLegendKey val="0"/>
          <c:showVal val="0"/>
          <c:showCatName val="0"/>
          <c:showSerName val="0"/>
          <c:showPercent val="0"/>
          <c:showBubbleSize val="0"/>
        </c:dLbls>
        <c:axId val="95389568"/>
        <c:axId val="95391104"/>
      </c:scatterChart>
      <c:valAx>
        <c:axId val="95389568"/>
        <c:scaling>
          <c:orientation val="minMax"/>
          <c:max val="230"/>
          <c:min val="160"/>
        </c:scaling>
        <c:delete val="0"/>
        <c:axPos val="b"/>
        <c:majorGridlines/>
        <c:numFmt formatCode="General" sourceLinked="1"/>
        <c:majorTickMark val="in"/>
        <c:minorTickMark val="none"/>
        <c:tickLblPos val="nextTo"/>
        <c:crossAx val="95391104"/>
        <c:crosses val="autoZero"/>
        <c:crossBetween val="midCat"/>
      </c:valAx>
      <c:valAx>
        <c:axId val="95391104"/>
        <c:scaling>
          <c:orientation val="minMax"/>
        </c:scaling>
        <c:delete val="0"/>
        <c:axPos val="l"/>
        <c:majorGridlines/>
        <c:numFmt formatCode="General" sourceLinked="1"/>
        <c:majorTickMark val="none"/>
        <c:minorTickMark val="none"/>
        <c:tickLblPos val="nextTo"/>
        <c:crossAx val="95389568"/>
        <c:crosses val="autoZero"/>
        <c:crossBetween val="midCat"/>
      </c:valAx>
      <c:spPr>
        <a:noFill/>
      </c:spPr>
    </c:plotArea>
    <c:plotVisOnly val="1"/>
    <c:dispBlanksAs val="gap"/>
    <c:showDLblsOverMax val="0"/>
  </c:chart>
  <c:spPr>
    <a:solidFill>
      <a:sysClr val="window" lastClr="FFFFFF"/>
    </a:solidFill>
  </c:spPr>
  <c:txPr>
    <a:bodyPr/>
    <a:lstStyle/>
    <a:p>
      <a:pPr>
        <a:defRPr>
          <a:solidFill>
            <a:schemeClr val="tx1"/>
          </a:solidFill>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0.89247</cdr:x>
      <cdr:y>0.44017</cdr:y>
    </cdr:from>
    <cdr:to>
      <cdr:x>1</cdr:x>
      <cdr:y>0.52249</cdr:y>
    </cdr:to>
    <cdr:sp macro="" textlink="">
      <cdr:nvSpPr>
        <cdr:cNvPr id="2" name="Text Box 1"/>
        <cdr:cNvSpPr txBox="1"/>
      </cdr:nvSpPr>
      <cdr:spPr>
        <a:xfrm xmlns:a="http://schemas.openxmlformats.org/drawingml/2006/main">
          <a:off x="5771328" y="1493969"/>
          <a:ext cx="695309" cy="27941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050" baseline="0"/>
            <a:t>Uncoate</a:t>
          </a:r>
          <a:r>
            <a:rPr lang="en-US" sz="1000" baseline="0"/>
            <a:t>d</a:t>
          </a:r>
          <a:endParaRPr lang="en-US" sz="1000"/>
        </a:p>
      </cdr:txBody>
    </cdr:sp>
  </cdr:relSizeAnchor>
</c:userShapes>
</file>

<file path=word/drawings/drawing2.xml><?xml version="1.0" encoding="utf-8"?>
<c:userShapes xmlns:c="http://schemas.openxmlformats.org/drawingml/2006/chart">
  <cdr:relSizeAnchor xmlns:cdr="http://schemas.openxmlformats.org/drawingml/2006/chartDrawing">
    <cdr:from>
      <cdr:x>0.01469</cdr:x>
      <cdr:y>0.39614</cdr:y>
    </cdr:from>
    <cdr:to>
      <cdr:x>0.06943</cdr:x>
      <cdr:y>0.48309</cdr:y>
    </cdr:to>
    <cdr:sp macro="" textlink="">
      <cdr:nvSpPr>
        <cdr:cNvPr id="2" name="CaixaDeTexto 1"/>
        <cdr:cNvSpPr txBox="1"/>
      </cdr:nvSpPr>
      <cdr:spPr>
        <a:xfrm xmlns:a="http://schemas.openxmlformats.org/drawingml/2006/main">
          <a:off x="104775" y="1562100"/>
          <a:ext cx="390525" cy="342900"/>
        </a:xfrm>
        <a:prstGeom xmlns:a="http://schemas.openxmlformats.org/drawingml/2006/main" prst="rect">
          <a:avLst/>
        </a:prstGeom>
      </cdr:spPr>
      <cdr:txBody>
        <a:bodyPr xmlns:a="http://schemas.openxmlformats.org/drawingml/2006/main" rot="-5400000" vertOverflow="clip" wrap="none" rtlCol="0"/>
        <a:lstStyle xmlns:a="http://schemas.openxmlformats.org/drawingml/2006/main"/>
        <a:p xmlns:a="http://schemas.openxmlformats.org/drawingml/2006/main">
          <a:r>
            <a:rPr lang="pt-PT" sz="1100">
              <a:solidFill>
                <a:schemeClr val="bg1"/>
              </a:solidFill>
            </a:rPr>
            <a:t>KW/m3</a:t>
          </a:r>
          <a:endParaRPr lang="pt-PT" sz="1100"/>
        </a:p>
      </cdr:txBody>
    </cdr:sp>
  </cdr:relSizeAnchor>
  <cdr:relSizeAnchor xmlns:cdr="http://schemas.openxmlformats.org/drawingml/2006/chartDrawing">
    <cdr:from>
      <cdr:x>0.54784</cdr:x>
      <cdr:y>0.86795</cdr:y>
    </cdr:from>
    <cdr:to>
      <cdr:x>0.60258</cdr:x>
      <cdr:y>0.95491</cdr:y>
    </cdr:to>
    <cdr:sp macro="" textlink="">
      <cdr:nvSpPr>
        <cdr:cNvPr id="3" name="CaixaDeTexto 1"/>
        <cdr:cNvSpPr txBox="1"/>
      </cdr:nvSpPr>
      <cdr:spPr>
        <a:xfrm xmlns:a="http://schemas.openxmlformats.org/drawingml/2006/main">
          <a:off x="3908425" y="3422650"/>
          <a:ext cx="390525" cy="342900"/>
        </a:xfrm>
        <a:prstGeom xmlns:a="http://schemas.openxmlformats.org/drawingml/2006/main" prst="rect">
          <a:avLst/>
        </a:prstGeom>
      </cdr:spPr>
      <cdr:txBody>
        <a:bodyPr xmlns:a="http://schemas.openxmlformats.org/drawingml/2006/main" rot="0"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PT" sz="1100">
              <a:solidFill>
                <a:schemeClr val="bg1"/>
              </a:solidFill>
            </a:rPr>
            <a:t>m3/h</a:t>
          </a:r>
        </a:p>
        <a:p xmlns:a="http://schemas.openxmlformats.org/drawingml/2006/main">
          <a:endParaRPr lang="pt-PT" sz="1100"/>
        </a:p>
      </cdr:txBody>
    </cdr:sp>
  </cdr:relSizeAnchor>
  <cdr:relSizeAnchor xmlns:cdr="http://schemas.openxmlformats.org/drawingml/2006/chartDrawing">
    <cdr:from>
      <cdr:x>0.24508</cdr:x>
      <cdr:y>0.18849</cdr:y>
    </cdr:from>
    <cdr:to>
      <cdr:x>0.45728</cdr:x>
      <cdr:y>0.19879</cdr:y>
    </cdr:to>
    <cdr:cxnSp macro="">
      <cdr:nvCxnSpPr>
        <cdr:cNvPr id="5" name="Conexão recta unidireccional 4"/>
        <cdr:cNvCxnSpPr/>
      </cdr:nvCxnSpPr>
      <cdr:spPr>
        <a:xfrm xmlns:a="http://schemas.openxmlformats.org/drawingml/2006/main" flipH="1">
          <a:off x="1748473" y="743267"/>
          <a:ext cx="1513840" cy="40640"/>
        </a:xfrm>
        <a:prstGeom xmlns:a="http://schemas.openxmlformats.org/drawingml/2006/main" prst="straightConnector1">
          <a:avLst/>
        </a:prstGeom>
        <a:ln xmlns:a="http://schemas.openxmlformats.org/drawingml/2006/main">
          <a:solidFill>
            <a:srgbClr val="FF0000"/>
          </a:solidFill>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0.46582</cdr:x>
      <cdr:y>0.12665</cdr:y>
    </cdr:from>
    <cdr:to>
      <cdr:x>0.73783</cdr:x>
      <cdr:y>0.2194</cdr:y>
    </cdr:to>
    <cdr:sp macro="" textlink="">
      <cdr:nvSpPr>
        <cdr:cNvPr id="7" name="CaixaDeTexto 6"/>
        <cdr:cNvSpPr txBox="1"/>
      </cdr:nvSpPr>
      <cdr:spPr>
        <a:xfrm xmlns:a="http://schemas.openxmlformats.org/drawingml/2006/main">
          <a:off x="3323273" y="499427"/>
          <a:ext cx="1940560" cy="36576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t-PT" sz="2000" dirty="0" smtClean="0">
              <a:solidFill>
                <a:srgbClr val="FF0000"/>
              </a:solidFill>
            </a:rPr>
            <a:t>Lowest efficiency zone</a:t>
          </a:r>
          <a:endParaRPr lang="pt-PT" sz="2000" dirty="0">
            <a:solidFill>
              <a:srgbClr val="FF0000"/>
            </a:solidFill>
          </a:endParaRPr>
        </a:p>
      </cdr:txBody>
    </cdr:sp>
  </cdr:relSizeAnchor>
  <cdr:relSizeAnchor xmlns:cdr="http://schemas.openxmlformats.org/drawingml/2006/chartDrawing">
    <cdr:from>
      <cdr:x>0.55981</cdr:x>
      <cdr:y>0.28124</cdr:y>
    </cdr:from>
    <cdr:to>
      <cdr:x>0.83182</cdr:x>
      <cdr:y>0.37399</cdr:y>
    </cdr:to>
    <cdr:sp macro="" textlink="">
      <cdr:nvSpPr>
        <cdr:cNvPr id="8" name="CaixaDeTexto 1"/>
        <cdr:cNvSpPr txBox="1"/>
      </cdr:nvSpPr>
      <cdr:spPr>
        <a:xfrm xmlns:a="http://schemas.openxmlformats.org/drawingml/2006/main">
          <a:off x="3993833" y="1109027"/>
          <a:ext cx="1940560" cy="36576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PT" sz="2000" dirty="0" smtClean="0">
              <a:solidFill>
                <a:srgbClr val="92D050"/>
              </a:solidFill>
            </a:rPr>
            <a:t>Highest efficiency zone</a:t>
          </a:r>
          <a:endParaRPr lang="pt-PT" sz="2000" dirty="0">
            <a:solidFill>
              <a:srgbClr val="92D050"/>
            </a:solidFill>
          </a:endParaRPr>
        </a:p>
      </cdr:txBody>
    </cdr:sp>
  </cdr:relSizeAnchor>
  <cdr:relSizeAnchor xmlns:cdr="http://schemas.openxmlformats.org/drawingml/2006/chartDrawing">
    <cdr:from>
      <cdr:x>0.819</cdr:x>
      <cdr:y>0.3843</cdr:y>
    </cdr:from>
    <cdr:to>
      <cdr:x>0.82755</cdr:x>
      <cdr:y>0.67544</cdr:y>
    </cdr:to>
    <cdr:cxnSp macro="">
      <cdr:nvCxnSpPr>
        <cdr:cNvPr id="9" name="Conexão recta unidireccional 8"/>
        <cdr:cNvCxnSpPr/>
      </cdr:nvCxnSpPr>
      <cdr:spPr>
        <a:xfrm xmlns:a="http://schemas.openxmlformats.org/drawingml/2006/main" flipH="1">
          <a:off x="5842953" y="1515427"/>
          <a:ext cx="60960" cy="1148080"/>
        </a:xfrm>
        <a:prstGeom xmlns:a="http://schemas.openxmlformats.org/drawingml/2006/main" prst="straightConnector1">
          <a:avLst/>
        </a:prstGeom>
        <a:ln xmlns:a="http://schemas.openxmlformats.org/drawingml/2006/main">
          <a:solidFill>
            <a:srgbClr val="92D050"/>
          </a:solidFill>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0.15251</cdr:x>
      <cdr:y>0.88414</cdr:y>
    </cdr:from>
    <cdr:to>
      <cdr:x>0.42452</cdr:x>
      <cdr:y>0.97689</cdr:y>
    </cdr:to>
    <cdr:sp macro="" textlink="">
      <cdr:nvSpPr>
        <cdr:cNvPr id="10" name="CaixaDeTexto 1"/>
        <cdr:cNvSpPr txBox="1"/>
      </cdr:nvSpPr>
      <cdr:spPr>
        <a:xfrm xmlns:a="http://schemas.openxmlformats.org/drawingml/2006/main">
          <a:off x="1088065" y="3486465"/>
          <a:ext cx="1940580" cy="36574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pt-PT" sz="2000" dirty="0" smtClean="0">
              <a:solidFill>
                <a:srgbClr val="FFC000"/>
              </a:solidFill>
            </a:rPr>
            <a:t>Variation of 6%</a:t>
          </a:r>
          <a:endParaRPr lang="pt-PT" sz="2000" dirty="0">
            <a:solidFill>
              <a:srgbClr val="FFC000"/>
            </a:solidFill>
          </a:endParaRPr>
        </a:p>
      </cdr:txBody>
    </cdr:sp>
  </cdr:relSizeAnchor>
  <cdr:relSizeAnchor xmlns:cdr="http://schemas.openxmlformats.org/drawingml/2006/chartDrawing">
    <cdr:from>
      <cdr:x>0.32911</cdr:x>
      <cdr:y>0.80427</cdr:y>
    </cdr:from>
    <cdr:to>
      <cdr:x>0.73356</cdr:x>
      <cdr:y>0.89187</cdr:y>
    </cdr:to>
    <cdr:cxnSp macro="">
      <cdr:nvCxnSpPr>
        <cdr:cNvPr id="6" name="Conexão recta unidireccional 5"/>
        <cdr:cNvCxnSpPr/>
      </cdr:nvCxnSpPr>
      <cdr:spPr>
        <a:xfrm xmlns:a="http://schemas.openxmlformats.org/drawingml/2006/main" flipV="1">
          <a:off x="2347913" y="3171507"/>
          <a:ext cx="2885440" cy="345440"/>
        </a:xfrm>
        <a:prstGeom xmlns:a="http://schemas.openxmlformats.org/drawingml/2006/main" prst="straightConnector1">
          <a:avLst/>
        </a:prstGeom>
        <a:ln xmlns:a="http://schemas.openxmlformats.org/drawingml/2006/main">
          <a:solidFill>
            <a:srgbClr val="FFFF00"/>
          </a:solidFill>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0.21518</cdr:x>
      <cdr:y>0.27093</cdr:y>
    </cdr:from>
    <cdr:to>
      <cdr:x>0.33053</cdr:x>
      <cdr:y>0.89702</cdr:y>
    </cdr:to>
    <cdr:cxnSp macro="">
      <cdr:nvCxnSpPr>
        <cdr:cNvPr id="13" name="Conexão recta unidireccional 12"/>
        <cdr:cNvCxnSpPr/>
      </cdr:nvCxnSpPr>
      <cdr:spPr>
        <a:xfrm xmlns:a="http://schemas.openxmlformats.org/drawingml/2006/main" flipH="1" flipV="1">
          <a:off x="1535113" y="1068387"/>
          <a:ext cx="822960" cy="2468880"/>
        </a:xfrm>
        <a:prstGeom xmlns:a="http://schemas.openxmlformats.org/drawingml/2006/main" prst="straightConnector1">
          <a:avLst/>
        </a:prstGeom>
        <a:ln xmlns:a="http://schemas.openxmlformats.org/drawingml/2006/main">
          <a:solidFill>
            <a:srgbClr val="FFFF00"/>
          </a:solidFill>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7</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Belzona Polymerics</Company>
  <LinksUpToDate>false</LinksUpToDate>
  <CharactersWithSpaces>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Silva</dc:creator>
  <cp:lastModifiedBy>Pance</cp:lastModifiedBy>
  <cp:revision>2</cp:revision>
  <cp:lastPrinted>2015-03-23T11:16:00Z</cp:lastPrinted>
  <dcterms:created xsi:type="dcterms:W3CDTF">2016-12-10T13:05:00Z</dcterms:created>
  <dcterms:modified xsi:type="dcterms:W3CDTF">2016-12-10T13:05:00Z</dcterms:modified>
</cp:coreProperties>
</file>